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after="0"/>
        <w:rPr>
          <w:rFonts w:cs="Calibri"/>
          <w:sz w:val="28"/>
          <w:szCs w:val="28"/>
        </w:rPr>
      </w:pPr>
      <w:r>
        <w:rPr>
          <w:rFonts w:cs="Calibri"/>
          <w:b/>
          <w:sz w:val="28"/>
          <w:szCs w:val="28"/>
        </w:rPr>
      </w:r>
      <w:bookmarkStart w:id="0" w:name="_Hlk172842122"/>
      <w:r>
        <w:rPr>
          <w:rFonts w:cs="Calibri"/>
          <w:b/>
          <w:sz w:val="28"/>
          <w:szCs w:val="28"/>
        </w:rPr>
        <w:t xml:space="preserve">Wymagania na oceny </w:t>
      </w:r>
      <w:r>
        <w:rPr>
          <w:rFonts w:cs="Calibri"/>
          <w:b/>
          <w:bCs/>
          <w:color w:val="000000"/>
          <w:sz w:val="28"/>
          <w:szCs w:val="28"/>
        </w:rPr>
        <w:t>do historii dla szkoły podstawowej</w:t>
      </w:r>
      <w:r>
        <w:rPr>
          <w:rFonts w:cs="Calibri"/>
          <w:b/>
          <w:sz w:val="28"/>
          <w:szCs w:val="28"/>
        </w:rPr>
        <w:t xml:space="preserve"> „Wczoraj i dziś” kl. 4</w:t>
      </w:r>
      <w:r>
        <w:rPr>
          <w:rFonts w:cs="Calibri"/>
          <w:sz w:val="28"/>
          <w:szCs w:val="28"/>
        </w:rPr>
      </w:r>
    </w:p>
    <w:p>
      <w:pPr>
        <w:spacing w:after="0"/>
        <w:rPr>
          <w:rFonts w:cs="Calibri"/>
        </w:rPr>
      </w:pPr>
      <w:r>
        <w:rPr>
          <w:rStyle w:val="char9"/>
          <w:rFonts w:cs="Calibri"/>
        </w:rPr>
        <w:t xml:space="preserve">Wymagania na oceny uwzględniają zapisy podstawy programowej </w:t>
      </w:r>
      <w:r>
        <w:t>ogłoszonej rozporządzeniem Ministra Edukacji z dnia 11 marca 2026 r. w sprawie podstawy programowej wychowania przedszkolnego oraz podstawy programowej kształcenia ogólnego dla szkoły podstawowej.</w:t>
      </w:r>
      <w:r>
        <w:rPr>
          <w:rFonts w:cs="Calibri"/>
        </w:rPr>
      </w:r>
    </w:p>
    <w:p>
      <w:pPr>
        <w:spacing w:after="0"/>
      </w:pPr>
      <w:bookmarkEnd w:id="0"/>
      <w:r/>
    </w:p>
    <w:p>
      <w:pPr>
        <w:spacing w:after="0"/>
      </w:pPr>
      <w:r>
        <w:t xml:space="preserve">Na końcu dokumentu przedstawiono propozycje oceniania </w:t>
      </w:r>
      <w:r>
        <w:rPr>
          <w:b/>
          <w:bCs/>
        </w:rPr>
        <w:t>doświadczeń edukacyjnych</w:t>
      </w:r>
      <w:r>
        <w:t>, o których realizacji decyduje nauczyciel. Doświadczenia edukacyjne mają charakter praktyczny, wzmacniają kompetencje fundamentalne i przekrojowe oraz rozwijają umiejętności komunikacyjne i współpracę. Doświadczenia edukacyjne są podzielone na indywidualne i grupowe. Nauczyciel wraz z uczniami wybiera co najmniej jedno doświadczenie edukacyjne do realizacji w każdym roku nauki.</w:t>
      </w:r>
    </w:p>
    <w:p>
      <w:pPr>
        <w:spacing w:after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</w:r>
    </w:p>
    <w:tbl>
      <w:tblPr>
        <w:name w:val="Tabela1"/>
        <w:tabOrder w:val="0"/>
        <w:jc w:val="left"/>
        <w:tblInd w:w="-485" w:type="dxa"/>
        <w:tblW w:w="14655" w:type="dxa"/>
        <w:pPr>
          <w:ind w:left="-485"/>
          <w:spacing w:after="0" w:line="240" w:lineRule="auto"/>
          <w:widowControl w:val="0"/>
          <w:pBdr>
            <w:top w:val="nil" w:sz="0" w:space="3" w:color="000000" tmln="20, 20, 20, 0, 60"/>
            <w:left w:val="nil" w:sz="0" w:space="3" w:color="000000" tmln="20, 20, 20, 0, 60"/>
            <w:bottom w:val="nil" w:sz="0" w:space="3" w:color="000000" tmln="20, 20, 20, 0, 60"/>
            <w:right w:val="nil" w:sz="0" w:space="3" w:color="000000" tmln="20, 20, 20, 0, 60"/>
            <w:between w:val="nil" w:sz="0" w:space="0" w:color="000000" tmln="20, 20, 20, 0, 0"/>
          </w:pBdr>
          <w:shd w:val="none"/>
        </w:pPr>
      </w:tblPr>
      <w:tblGrid>
        <w:gridCol w:w="1440"/>
        <w:gridCol w:w="2159"/>
        <w:gridCol w:w="2268"/>
        <w:gridCol w:w="2126"/>
        <w:gridCol w:w="284"/>
        <w:gridCol w:w="2126"/>
        <w:gridCol w:w="2126"/>
        <w:gridCol w:w="2126"/>
      </w:tblGrid>
      <w:tr>
        <w:trPr>
          <w:tblHeader w:val="0"/>
          <w:cantSplit w:val="0"/>
          <w:trHeight w:val="345" w:hRule="atLeast"/>
        </w:trPr>
        <w:tc>
          <w:tcPr>
            <w:tcW w:w="1440" w:type="dxa"/>
            <w:vMerge w:val="restart"/>
            <w:vAlign w:val="center"/>
            <w:shd w:val="solid" w:color="AEAAAA" tmshd="1677721856, 0, 11184814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vAlign w:val="center"/>
            <w:shd w:val="solid" w:color="AEAAAA" tmshd="1677721856, 0, 11184814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6"/>
            <w:vAlign w:val="center"/>
            <w:shd w:val="solid" w:color="AEAAAA" tmshd="1677721856, 0, 11184814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ind w:left="922" w:hanging="213"/>
              <w:spacing w:after="0"/>
              <w:jc w:val="center"/>
              <w:tabs defTabSz="708">
                <w:tab w:val="left" w:pos="2198" w:leader="none"/>
                <w:tab w:val="left" w:pos="2623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Wymagania na poszczególne oceny</w:t>
            </w:r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40" w:type="dxa"/>
            <w:vMerge/>
            <w:vAlign w:val="center"/>
            <w:shd w:val="solid" w:color="AEAAAA" tmshd="1677721856, 0, 11184814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 w:line="240" w:lineRule="auto"/>
              <w:widowControl w:val="0"/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SimSun"/>
                <w:kern w:val="1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159" w:type="dxa"/>
            <w:vMerge/>
            <w:vAlign w:val="center"/>
            <w:shd w:val="solid" w:color="AEAAAA" tmshd="1677721856, 0, 11184814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 w:line="240" w:lineRule="auto"/>
              <w:widowControl w:val="0"/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SimSun"/>
                <w:kern w:val="1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268" w:type="dxa"/>
            <w:vAlign w:val="center"/>
            <w:shd w:val="solid" w:color="AEAAAA" tmshd="1677721856, 0, 11184814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dopuszczająca</w:t>
            </w:r>
          </w:p>
        </w:tc>
        <w:tc>
          <w:tcPr>
            <w:tcW w:w="2410" w:type="dxa"/>
            <w:gridSpan w:val="2"/>
            <w:vAlign w:val="center"/>
            <w:shd w:val="solid" w:color="AEAAAA" tmshd="1677721856, 0, 11184814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dostateczna</w:t>
            </w:r>
          </w:p>
        </w:tc>
        <w:tc>
          <w:tcPr>
            <w:tcW w:w="2126" w:type="dxa"/>
            <w:vAlign w:val="center"/>
            <w:shd w:val="solid" w:color="AEAAAA" tmshd="1677721856, 0, 11184814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dobra</w:t>
            </w:r>
          </w:p>
        </w:tc>
        <w:tc>
          <w:tcPr>
            <w:tcW w:w="2126" w:type="dxa"/>
            <w:vAlign w:val="center"/>
            <w:shd w:val="solid" w:color="AEAAAA" tmshd="1677721856, 0, 11184814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bardzo dobra</w:t>
            </w:r>
          </w:p>
        </w:tc>
        <w:tc>
          <w:tcPr>
            <w:tcW w:w="2126" w:type="dxa"/>
            <w:vAlign w:val="center"/>
            <w:shd w:val="solid" w:color="AEAAAA" tmshd="1677721856, 0, 11184814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celująca</w:t>
            </w:r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655" w:type="dxa"/>
            <w:gridSpan w:val="8"/>
            <w:vAlign w:val="center"/>
            <w:shd w:val="solid" w:color="D0CECE" tmshd="1677721856, 0, 13553360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Rozdział I. Z historią na Ty</w:t>
            </w:r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>1. Pierwsza lekcja historii</w:t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6" w:hanging="176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różne znaczenia słowa historia (opowieść, przeszłość, nauka)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historia jako nauka o przeszłości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historia a baśnie i legendy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dlaczego warto uczyć się historii i czego uczymy się na historii,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znaczenie pojęć: przeszłość, baśń, legenda, historia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6" w:hanging="176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 pomocą nauczyciela posługuje się pojęciami: historia, przeszłość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odróżnia przeszłość od współczesności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potrafi krótko scharakte</w:t>
              <w:softHyphen/>
              <w:t>ryzować, czym są baśnie i legendy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6" w:hanging="176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poprawnie posługuje się pojęciami: historia, baśń, legenda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podaje przykłady postaci legendarnych i histo</w:t>
              <w:softHyphen/>
              <w:t xml:space="preserve">rycznych 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przedstawia, czym zajmują się historycy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6" w:hanging="176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wyjaśnia, czym jest historia i dlaczego ją poznajemy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potrafi wskazać elementy prawdziwe i fikcyjne w opowieściach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6" w:hanging="176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wyjaśnia znaczenie uczenia się historii dla współczesnego życia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samodzielnie odróżnia historię od fikcji literackiej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podaje przykłady legend i baśni oraz wskazuje ich cechy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6" w:hanging="176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samodzielnie i trafnie analizuje różnice między historią, legendą a fikcją literacką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porównuje różne formy przekazywania wiedzy o przeszłości (historia, opowieści, legendy)</w:t>
            </w:r>
          </w:p>
          <w:p>
            <w:pPr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/>
              <w:rPr>
                <w:rFonts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>2. Historia – nauka o przeszłości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color w:val="ff0000"/>
                <w:sz w:val="20"/>
                <w:szCs w:val="20"/>
                <w:lang w:eastAsia="pl-pl"/>
              </w:rPr>
            </w:r>
          </w:p>
          <w:p>
            <w:pPr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6" w:hanging="176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źródła historyczne, ich przykłady oraz podział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historia a archeologia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 w:line="240" w:lineRule="auto"/>
              <w:widowControl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metody badania wiarygodności źródeł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 w:line="240" w:lineRule="auto"/>
              <w:widowControl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związki przyczynowo-skutkowe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znaczenie pojęć: źródło historyczne, archeologia, przyczyna, skutek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6" w:hanging="176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 pomocą nauczyciela posługuje się pojęciami: archeologia, źródła historyczne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rozumie, że źródła nie zawsze mówią prawdę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rozróżnia pracę historyków i archeologów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wyjaśnia, czym są przyczyny i skutki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dokonuje podstawowego podziału źródeł historycznych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6" w:hanging="176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rozumie różnicę między historią a archeologią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wskazuje różne przykłady materialnych źródeł pisanych i niepisanych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 pomocą nauczyciela ocenia, czy źródło jest wiarygodne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6" w:hanging="176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omawia rolę źródeł historycznych w procesie poznawania dziejów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dzieli źródła pisane i niepisane na podkategorie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wyjaśnia, jak sprawdza się wiarygodność źródeł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6" w:hanging="176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samodzielnie ocenia wiarygodność źródła, uwzględniając autora oraz cel i kontekst historyczny jego powstania</w:t>
            </w:r>
          </w:p>
        </w:tc>
      </w:tr>
      <w:tr>
        <w:trPr>
          <w:tblHeader w:val="0"/>
          <w:cantSplit w:val="0"/>
          <w:trHeight w:val="850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 xml:space="preserve">3. Historia mojej rodziny </w:t>
            </w:r>
          </w:p>
          <w:p>
            <w:pPr>
              <w:ind w:firstLine="567"/>
              <w:spacing w:before="40" w:after="40" w:line="240" w:lineRule="auto"/>
              <w:rPr>
                <w:rFonts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cs="Calibri"/>
                <w:color w:val="ff0000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znaczenie pamiątek rodzinnych i opowieści jako źródeł do historii rodziny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drzewo genealogiczne jako sposób przedstawienia historii rodziny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tradycje rodzinne jako czynnik łączący członków rodziny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znaczenie pojęć: pamiątki rodzinne, krewni, pokolenie, genealogia, tradycja rodzinna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 pomocą nauczycie</w:t>
              <w:softHyphen/>
              <w:t>la poprawnie posługuje się pojęciami: pamiątki rodzinne, krewni, pokolenie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podaje przykłady pamiątek rodzinnych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poprawnie posługuje się pojęciami: drzewo genealogiczne, tradycja rodzinna</w:t>
            </w:r>
          </w:p>
          <w:p>
            <w:pPr>
              <w:pStyle w:val="para5"/>
              <w:numPr>
                <w:ilvl w:val="0"/>
                <w:numId w:val="1"/>
              </w:numPr>
              <w:ind w:left="147" w:hanging="144"/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z pomocą nauczyciela przygotowuje drzewo genealogiczne najbliższej rodziny lub wybranej postaci (historycznej lub literackiej)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podaje przykłady tradycji rodzinnych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poprawnie posługuje się pojęciem: genealogia</w:t>
            </w:r>
          </w:p>
          <w:p>
            <w:pPr>
              <w:pStyle w:val="para5"/>
              <w:numPr>
                <w:ilvl w:val="0"/>
                <w:numId w:val="1"/>
              </w:numPr>
              <w:ind w:left="147" w:hanging="144"/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wyjaśnia znaczenie pamiątek rodzinnych dla zachowania historii rodziny</w:t>
            </w:r>
          </w:p>
          <w:p>
            <w:pPr>
              <w:pStyle w:val="para5"/>
              <w:numPr>
                <w:ilvl w:val="0"/>
                <w:numId w:val="1"/>
              </w:numPr>
              <w:ind w:left="147" w:hanging="144"/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poprawnie odczytuje proste drzewo genealogiczne</w:t>
            </w:r>
          </w:p>
          <w:p>
            <w:pPr>
              <w:ind w:left="147" w:hanging="144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wyjaśnia znaczenie pamiątek rodzinnych i ich rolę w przekazywaniu historii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omawia, jak tradycje rodzinne budują więzi między pokoleniami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samodzielnie tworzy proste drzewo genealogiczne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potrafi opisać historię swojej rodziny na podstawie drzewa genealogicznego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47" w:hanging="144"/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samodzielnie porządkuje zebrane informacje o historii własnej (lub wybranej) rodziny w uporządkowaną opowieść</w:t>
            </w:r>
          </w:p>
          <w:p>
            <w:pPr>
              <w:pStyle w:val="para5"/>
              <w:numPr>
                <w:ilvl w:val="0"/>
                <w:numId w:val="1"/>
              </w:numPr>
              <w:ind w:left="147" w:hanging="144"/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wyjaśnia rolę tradycji rodzinnych w budowaniu tożsamości i więzi międzypokoleniowych</w:t>
            </w:r>
          </w:p>
          <w:p>
            <w:pPr>
              <w:ind w:left="147" w:hanging="144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708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4. Czas w historii</w:t>
              <w:tab/>
              <w:tab/>
            </w:r>
          </w:p>
          <w:p>
            <w:pPr>
              <w:ind w:left="313" w:hanging="313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chronologia i przedmiot jej badań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oś czasu i sposób umieszczania na niej dat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prehistoria i epoki historyczne oraz ich daty graniczne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cyfry rzymskie i arabskie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znaczenie pojęć: chronologia, oś czasu, stulecie, tysiąclecie, wiek, nasza era i czasy p.n.e., epoka historyczna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z pomocą nauczyciela używa pojęć: oś czasu, tysiąclecie, stulecie, wiek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z pomocą nauczyciela tworzy prostą oś czasu 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poprawnie posługuje się pojęciami: chronologia, okres p.n.e. i n.e., epoka historyczna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zamienia cyfry arabskie na rzymskie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porządkuje epoki historyczne oraz umieszcza je w czasie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poprawnie odczytuje informacje z osi czasu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rozróżnia epoki historyczne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biegle odczytuje i zapisuje daty z wykorzystaniem cyfr rzymskich i arabskich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poprawnie posługuje się osią czasu i umieszcza na niej wydarzenia 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wyjaśnia okoliczności ustanowienia roku 1 i podziału na dwie ery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zna ramy czasowe epok historycznych i rozumie ich uznaniowość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charakteryzuje główne epoki historyczne</w:t>
            </w:r>
          </w:p>
          <w:p>
            <w:pPr>
              <w:ind w:left="175" w:hanging="175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1924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5. Obliczanie czasu w historii</w:t>
            </w:r>
          </w:p>
          <w:p>
            <w:pPr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9" w:hanging="179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obliczanie upływu lat między wydarzeniami z n.e., p.n.e. i obu er</w:t>
            </w:r>
          </w:p>
          <w:p>
            <w:pPr>
              <w:numPr>
                <w:ilvl w:val="0"/>
                <w:numId w:val="1"/>
              </w:numPr>
              <w:ind w:left="179" w:hanging="179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określanie, w którym wieku doszło do danego wydarzenia</w:t>
            </w:r>
          </w:p>
          <w:p>
            <w:pPr>
              <w:ind w:left="179" w:hanging="179"/>
              <w:spacing w:before="40" w:after="40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9" w:hanging="179"/>
              <w:spacing w:before="40" w:after="40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Style w:val="char5"/>
                <w:sz w:val="20"/>
                <w:szCs w:val="20"/>
              </w:rPr>
              <w:t>z pomocą nauczyciela określa, w którym wieku rozegrało się dane wyda</w:t>
              <w:softHyphen/>
              <w:t>rzenie</w:t>
            </w:r>
            <w:r>
              <w:rPr>
                <w:rFonts w:cs="Calibri"/>
                <w:color w:val="000000"/>
                <w:sz w:val="20"/>
                <w:szCs w:val="20"/>
              </w:rPr>
            </w:r>
          </w:p>
          <w:p>
            <w:pPr>
              <w:numPr>
                <w:ilvl w:val="0"/>
                <w:numId w:val="1"/>
              </w:numPr>
              <w:ind w:left="179" w:hanging="179"/>
              <w:spacing w:before="40" w:after="40"/>
              <w:rPr>
                <w:rFonts w:eastAsia="Times" w:cs="Calibri"/>
                <w:sz w:val="20"/>
                <w:szCs w:val="20"/>
              </w:rPr>
            </w:pPr>
            <w:r>
              <w:rPr>
                <w:rStyle w:val="char5"/>
                <w:sz w:val="20"/>
                <w:szCs w:val="20"/>
              </w:rPr>
              <w:t>oblicza upływ czasu między wydarzeniami w ramach jednej ery</w:t>
            </w:r>
            <w:r>
              <w:rPr>
                <w:rFonts w:eastAsia="Times" w:cs="Calibri"/>
                <w:sz w:val="20"/>
                <w:szCs w:val="20"/>
              </w:rPr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9" w:hanging="179"/>
              <w:spacing w:before="40" w:after="40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Style w:val="char5"/>
                <w:sz w:val="20"/>
                <w:szCs w:val="20"/>
              </w:rPr>
              <w:t>poprawnie wskazuje wydarzenie wcześniejsze w czasach p.n.e.</w:t>
            </w:r>
          </w:p>
          <w:p>
            <w:pPr>
              <w:numPr>
                <w:ilvl w:val="0"/>
                <w:numId w:val="1"/>
              </w:numPr>
              <w:ind w:left="179" w:hanging="179"/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Style w:val="char5"/>
                <w:sz w:val="20"/>
                <w:szCs w:val="20"/>
              </w:rPr>
              <w:t>oblicza upływ czasu między wydarzeniami w ramach obu er</w:t>
            </w: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45" w:hanging="142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eastAsia="Times" w:cs="Calibri"/>
                <w:sz w:val="20"/>
                <w:szCs w:val="20"/>
              </w:rPr>
              <w:t>określa początek i koniec wieku</w:t>
            </w:r>
            <w:r>
              <w:rPr>
                <w:rFonts w:cs="Calibri"/>
                <w:sz w:val="20"/>
                <w:szCs w:val="20"/>
              </w:rPr>
            </w:r>
          </w:p>
          <w:p>
            <w:pPr>
              <w:numPr>
                <w:ilvl w:val="0"/>
                <w:numId w:val="1"/>
              </w:numPr>
              <w:ind w:left="145" w:hanging="142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>
              <w:rPr>
                <w:rStyle w:val="char5"/>
                <w:sz w:val="20"/>
                <w:szCs w:val="20"/>
              </w:rPr>
              <w:t>poprawnie umiejscawia wydarzenia z obu er na osi czasu</w:t>
            </w: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45" w:hanging="142"/>
              <w:spacing w:before="40" w:after="4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Style w:val="char5"/>
                <w:sz w:val="20"/>
                <w:szCs w:val="20"/>
              </w:rPr>
              <w:t>oblicza upływ czasu między wydarzeniami, w tym na przełomie obu er</w:t>
            </w:r>
            <w:r>
              <w:rPr>
                <w:rFonts w:cs="Calibri"/>
                <w:color w:val="000000"/>
                <w:sz w:val="20"/>
                <w:szCs w:val="20"/>
              </w:rPr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45" w:hanging="142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>
              <w:rPr>
                <w:rStyle w:val="char5"/>
                <w:sz w:val="20"/>
                <w:szCs w:val="20"/>
              </w:rPr>
              <w:t>przyporządkowuje wyda</w:t>
              <w:softHyphen/>
              <w:t>rzenia do epok historycz</w:t>
              <w:softHyphen/>
              <w:t>nych</w:t>
            </w:r>
            <w:r>
              <w:rPr>
                <w:rFonts w:cs="Calibri"/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655" w:type="dxa"/>
            <w:gridSpan w:val="8"/>
            <w:vAlign w:val="center"/>
            <w:shd w:val="solid" w:color="D0CECE" tmshd="1677721856, 0, 13553360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 w:line="240" w:lineRule="auto"/>
              <w:jc w:val="center"/>
            </w:pPr>
            <w:r>
              <w:rPr>
                <w:b/>
                <w:lang w:eastAsia="pl-pl"/>
              </w:rPr>
              <w:t>Rozdział II: Mała i duża ojczyzna</w:t>
            </w:r>
            <w:r/>
          </w:p>
        </w:tc>
      </w:tr>
      <w:tr>
        <w:trPr>
          <w:tblHeader w:val="0"/>
          <w:cantSplit w:val="0"/>
          <w:trHeight w:val="699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>1. Mieszkamy w Polsce</w:t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wspólnota państwowa (państwo) i wspólnota narodowa (naród)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polskie symbole narodowe i ich funkcje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polskie święta państwowe i ich funkcje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symbole UE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znaczenie pojęć: wspólnota, państwo, naród, ojczyzna, patriotyzm, symbole narodowe, Polonia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posługuje się pojęciami: państwo, naród, ojczyzna, patriotyzm, symbole narodowe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rozpoznaje polskie symbole narodowe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wskazuje na mapie Europy Polskę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poprawnie posługuje się pojęciami: wspólnota, Polonia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przedstawia polskie symbo</w:t>
              <w:softHyphen/>
              <w:t>le narodowe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 w:line="240" w:lineRule="auto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identyfikuje symbole Unii Europejskiej: flagę i hymn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czym jest wspólnota państwowa i narodowa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przedstawia genezę najważ</w:t>
              <w:softHyphen/>
              <w:t>niejszych świąt państwowych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znaczenie świąt państwowych dla budowania wspólnoty i podaje przykłady świąt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znaczenie symboli narodowych dla wspólnoty narodowej i państwowej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znaczenie symboli UE dla mieszkańców Polski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analizuje znaczenie narodu w historii i współczesności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 w:line="240" w:lineRule="auto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rozumie znaczenie symboli Unii Europejskiej w kontekście integracji europejskiej</w:t>
            </w:r>
          </w:p>
        </w:tc>
      </w:tr>
      <w:tr>
        <w:trPr>
          <w:tblHeader w:val="0"/>
          <w:cantSplit w:val="0"/>
          <w:trHeight w:val="850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 w:line="240" w:lineRule="auto"/>
              <w:widowControl w:val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2. </w:t>
            </w:r>
            <w:r>
              <w:rPr>
                <w:rFonts w:cs="Calibri"/>
                <w:sz w:val="20"/>
                <w:szCs w:val="20"/>
              </w:rPr>
              <w:t>Moja mała ojczyzna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</w:r>
          </w:p>
          <w:p>
            <w:pPr>
              <w:ind w:left="313" w:firstLine="567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duża a mała ojczyzna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małe ojczyzny i ich tradycje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różnice kulturowo- historyczne między regionami (języki, obyczaje, stroje ludowe)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znaczenie pojęć: mała ojczyzna, region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posługuje się pojęciami: region, mała ojczyzna, duża ojczyzna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 w:line="240" w:lineRule="auto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podaje nazwę regionu, w którym mieszka, i wskazuje go na mapie Polski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rozumie, że różne regiony Polski mają inne tradycje i zwyczaje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podaje proste przykłady tradycji lokalnych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analizując mapę, wymienia główne regiony Polski oraz wskazuje ich położenie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rozumie różnicę między małą i dużą ojczyzną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wskazuje różnice kulturowe i historyczne między regionami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znaczenie obrzędów, tradycji i zwyczajów regionalnych dla budowania wspólnoty i wskazuje ich odmienność w różnych częściach Polski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omawia regiony Polski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 w:line="240" w:lineRule="auto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porównuje tradycje i kulturę różnych regionów Polski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 w:line="240" w:lineRule="auto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omawia rolę gwary i dziedzictwa regionalnego</w:t>
            </w:r>
          </w:p>
        </w:tc>
      </w:tr>
      <w:tr>
        <w:trPr>
          <w:tblHeader w:val="0"/>
          <w:cantSplit w:val="0"/>
          <w:trHeight w:val="425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</w:rPr>
              <w:t>3. Historia mojej okolicy</w:t>
            </w: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poznawanie historii lokalnej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plan miasta jako źródło do historii lokalnej (zabytki, pomniki, patroni ulic i instytucji)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legenda jako źródło do historii regionalnej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zabytki i ich znaczenie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rozumie, czym są zabytki i dlaczego są ważne</w:t>
            </w:r>
          </w:p>
          <w:p>
            <w:pPr>
              <w:numPr>
                <w:ilvl w:val="0"/>
                <w:numId w:val="1"/>
              </w:numPr>
              <w:ind w:left="175" w:right="403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z pomocą nauczyciela wskazuje zabytki w swoim miejscu zamieszkania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rozpoznaje ślady przeszłości w swojej miejscowości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podaje przykłady działań, które pomagają poznawać historię lokalną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 xml:space="preserve">dostrzega ograniczenia legend jako źródeł historycznych 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postacie szczególnie zasłużone dla małej ojczyzny i identyfikuje formy ich upamiętnienia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rozumie znaczenie i konieczność ochrony zabytków historycznych w swoim regionie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wyjaśnia, czego można dowiedzieć się z legend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samodzielnie rozpoznaje ślady przeszłości w swojej miejscowości i podejmuje próby ich odczytania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przedstawia legendy związane ze swoją okolicą i wskazuje w nich elementy poświadczone historycznie i fikcyjne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samodzielnie odczytuje ślady przeszłości w swojej miejscowości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 oparciu o zebrane informacje przedstawia historię swojej okolicy</w:t>
            </w:r>
          </w:p>
        </w:tc>
      </w:tr>
      <w:tr>
        <w:trPr>
          <w:tblHeader w:val="0"/>
          <w:cantSplit w:val="0"/>
          <w:trHeight w:val="567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 xml:space="preserve">4. </w:t>
            </w:r>
            <w:r>
              <w:rPr>
                <w:rFonts w:cs="Calibri"/>
                <w:sz w:val="20"/>
                <w:szCs w:val="20"/>
              </w:rPr>
              <w:t>Jak korzystać z mapy historycznej?</w:t>
            </w:r>
            <w:r>
              <w:rPr>
                <w:rFonts w:cs="Calibri"/>
                <w:sz w:val="20"/>
                <w:szCs w:val="20"/>
                <w:lang w:eastAsia="pl-pl"/>
              </w:rPr>
            </w:r>
          </w:p>
          <w:p>
            <w:pPr>
              <w:ind w:left="313" w:hanging="349"/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znaczenie mapy w pracy historyka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podobieństwa i różnice między mapą a planem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odczytywanie informacji z planu i mapy historycznej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odczytywanie skali i legendy mapy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 w:line="240" w:lineRule="auto"/>
              <w:widowControl w:val="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znaczenie pojęć: mapa, plan, legenda, skala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rozumie pojęcia: mapa, plan, legenda, skala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elementy mapy historycznej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wyjaśnia, czym różni się mapa historyczna od planu historycznego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odczytuje podstawowe informacje z mapy i planu historycznego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poprawnie korzysta z legendy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samodzielnie odczytuje informacje z mapy i planu historycznego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rozumie, czym jest skala i do czego służy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wyjaśnia znaczenie legendy mapy i poprawnie interpretuje jej symbole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wyjaśnia, jak historycy wykorzystują mapy do badania przeszłości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wyciąga proste wnioski na podstawie mapy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łączy informacje z mapy z innymi źródłami wiedzy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wyciąga trafne i złożone wnioski na podstawie mapy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podejmuje próbę stworzenia własnej mapy historycznej związanej z wybranym wydarzeniem lub procesem z historii małej ojczyzny</w:t>
            </w:r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655" w:type="dxa"/>
            <w:gridSpan w:val="8"/>
            <w:vAlign w:val="center"/>
            <w:shd w:val="solid" w:color="D0CECE" tmshd="1677721856, 0, 13553360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 w:line="240" w:lineRule="auto"/>
              <w:jc w:val="center"/>
            </w:pPr>
            <w:r>
              <w:rPr>
                <w:rFonts w:eastAsia="Arial Unicode MS"/>
                <w:b/>
                <w:lang w:eastAsia="pl-pl" w:bidi="pl-pl"/>
              </w:rPr>
              <w:t xml:space="preserve">Rozdział III: </w:t>
            </w:r>
            <w:r>
              <w:rPr>
                <w:b/>
              </w:rPr>
              <w:t>Z najdawniejszych dziejów</w:t>
            </w:r>
            <w:r/>
          </w:p>
        </w:tc>
      </w:tr>
      <w:tr>
        <w:trPr>
          <w:tblHeader w:val="0"/>
          <w:cantSplit w:val="0"/>
          <w:trHeight w:val="567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 xml:space="preserve">1. </w:t>
            </w: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Jak żyli pierwsi ludzie?</w:t>
            </w: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pochodzenie człowieka i jego ekspansja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życie człowieka pierwotnego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różnice między koczowniczym a osiadłym trybem życia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początki rolnictwa i udomowienie zwierząt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znaczenie pojęć: człowiek rozumny, koczowniczy tryb życia, osiadły tryb życia, rewolucja neolityczna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z pomocą nauczyciela posługuje się pojęciami: koczowniczy i osiadły tryb życia, człowiek rozumny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opisuje różnice między człowiekiem pierwotnym a współczesnym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poprawnie posługuje się pojęciami: rewolucja neolityczna, Żyzny Półksiężyc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opisuje początki rolnictwa i udomowienie zwierząt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wymienia korzyści, które dały człowiekowi umiejętności uprawy ziemi i hodowli zwierząt</w:t>
            </w:r>
          </w:p>
          <w:p>
            <w:pPr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wyjaśnia różnice między koczowniczym a osiadłym trybem życia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wyjaśnia, na czym polegała rewolucja neolityczna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opisuje cechy i umiejętności przodków człowieka rozumnego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wskazuje umiejętności, których nabycie umożliwiło ludziom przejście na osiadły tryb życia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wyjaśnia długofalowe skutki rewolucji neolitycznej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wskazuje szlaki, którymi ludność zasiedliła różne kontynenty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analizuje znaczenie rewolucji neolitycznej dla rozwoju cywilizacji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wyciąga wnioski dotyczące zmian w sposobie życia człowieka</w:t>
            </w:r>
          </w:p>
        </w:tc>
      </w:tr>
      <w:tr>
        <w:trPr>
          <w:tblHeader w:val="0"/>
          <w:cantSplit w:val="0"/>
          <w:trHeight w:val="3260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 xml:space="preserve">2. </w:t>
            </w: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Pierwsze cywilizacje</w:t>
            </w: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życie w dolinach wielkich rzek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kształtowanie się pierwszych miast i państw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powstanie pisma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znaczenie pojęć: miasto-państwo, Mezopotamia, cywilizacja, kanały nawadniające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posługuje się pojęciami: Mezopotamia, cywilizacja, kanały nawadniające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wskazuje na mapie obszar Mezopotamii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zasadę oko za oko, ząb za ząb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poprawnie posługuje się pojęciem: miasto-państwo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najważniejsze osiągnięcia cywilizacyjne ludów starożytnej Mezopotamii i Babilonii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 początki pierwszych miast i państw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rolę wielkich rzek w rozwoju rolnictwa, handlu i komunikacji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do czego służyło pismo w dawnych czasach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znaczenie kodyfikacji prawa w życiu społecznym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charakteryzuje osiągnięcia pierwszych cywilizacji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porównuje osiągnięcia pierwszych cywilizacji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ocenia kary zawarte w Kodeksie Hammurabiego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uzasadnia znaczenie osiągnięć pierwszych cywilizacji dla późniejszych epok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współczesne przedmioty, których powstanie było możliwe dzięki osiągnięciom ludów Mezopotamii</w:t>
            </w:r>
          </w:p>
        </w:tc>
      </w:tr>
      <w:tr>
        <w:trPr>
          <w:tblHeader w:val="0"/>
          <w:cantSplit w:val="0"/>
          <w:trHeight w:val="1550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3. W starożytnym Egipcie</w:t>
            </w: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Egipt jako przykład antycznej cywilizacji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znaczenie Nilu dla państwa egipskiego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warunki życia w starożytnym Egipcie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struktura społeczna starożytnego Egiptu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znaczenie pojęć: faraon, społeczeństwo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posługuje się pojęciami: faraon, społeczeństwo (grupa społeczna)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wskazuje na mapie Egipt oraz Nil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 warunki życia w starożytnym Egipcie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znaczenie Nilu dla rolnictwa, życia i rozwoju państwa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grupy społeczne w Egipcie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charakteryzuje strukturę społeczną Egiptu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zależność między warunkami przyrodniczymi a życiem ludzi w Egipcie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poprawnie opisuje własnymi słowami podstawowe role w społeczeństwie egipskim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porównuje prawa i obowiązki różnych grup społecznych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wskazuje wady i zalety silnej pozycji faraona w Egipcie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wskazuje podobieństwa i różnice między Egiptem a innymi cywilizacjami starożytnymi</w:t>
            </w:r>
          </w:p>
        </w:tc>
      </w:tr>
      <w:tr>
        <w:trPr>
          <w:tblHeader w:val="0"/>
          <w:cantSplit w:val="0"/>
          <w:trHeight w:val="708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 xml:space="preserve">4. </w:t>
            </w: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Osiągnięcia starożytnych Egipcjan</w:t>
            </w: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osiągnięcia cywilizacji egipskiej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wierzenia Egipcjan jako przykład religii politeistycznej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architektura, sztuka i nauka egipska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znaczenie pojęć: hieroglify, piramida, politeizm, mumifikacja, życie pozagrobowe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posługuje się pojęciami: piramida, hieroglify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rozpoznaje podstawowe osiągnięcia starożytnego Egiptu (budowle, pismo, mumie)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 wygląd piramid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poprawnie posługuje się pojęciami: politeizm, mumifikacja, życie pozagrobowe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najważniejsze osiągnięcia cywilizacji egipskiej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na czym polegała mumifikacja i jaki był cel tego procesu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 rozwój nauki egipskiej i jej znaczenie w życiu codziennym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podaje przykłady bogów i charakteryzuje wierzenia Egipcjan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opisuje, w jaki sposób wznoszono piramidy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jak politeizm wpływał na życie Egipcjan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powiązania między wierzeniami Egipcjan a ich osiągnięciami w dziedzinie budownictwa i medycyny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i charakteryzuje najbardziej znane dzieła sztuki egipskiej (Sfinks, Dolina Królów, grobowiec Tutanchamona, popiersie Nefertiti, piramidy w Gizie)</w:t>
            </w:r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 xml:space="preserve">5. </w:t>
            </w: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Od hieroglifów do alfabetu</w:t>
            </w: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powstanie pisma i jego znaczenie dla rozwoju cywilizacji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ewolucja pisma i wynalezienie alfabetu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znaczenie pojęć: pismo obrazkowe, hieroglify, pismo klinowe, pismo alfabetyczne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posługuje się pojęciami: pismo obrazkowe, hieroglify, pismo klinowe, pismo alfabetyczne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rozpoznaje różne rodzaje pisma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najważniejsze korzyści związane z wynalezieniem pisma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charakteryzuje znaczenie pisma dla rozwoju cywilizacji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proces ewolucji pisma (od piktogramów do alfabetu)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rolę Fenicjan w stworzeniu alfabetu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wskazuje związki między rozwojem pisma a rozwojem państw i społeczeństw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porównuje różne rodzaje pisma i wskazuje ich zalety oraz ograniczenia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porównuje znaczenie pisma w czasach starożytnych i współcześnie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sytuuje w przestrzeni obszary związane z rozwojem pisma (Mezopotamia, Egipt, Fenicja)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ocenia znaczenie wynalezienia alfabetu dla rozwoju komunikacji i kultury</w:t>
            </w:r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655" w:type="dxa"/>
            <w:gridSpan w:val="8"/>
            <w:vAlign w:val="center"/>
            <w:shd w:val="solid" w:color="D0CECE" tmshd="1677721856, 0, 13553360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/>
              <w:jc w:val="center"/>
            </w:pPr>
            <w:r>
              <w:rPr>
                <w:rFonts w:eastAsia="Times New Roman"/>
                <w:b/>
                <w:lang w:eastAsia="pl-pl"/>
              </w:rPr>
              <w:t>Rozdział IV: W starożytnej Grecji</w:t>
            </w:r>
            <w:r/>
          </w:p>
        </w:tc>
      </w:tr>
      <w:tr>
        <w:trPr>
          <w:tblHeader w:val="0"/>
          <w:cantSplit w:val="0"/>
          <w:trHeight w:val="708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 xml:space="preserve">1. </w:t>
            </w: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Świat starożytnych Greków</w:t>
            </w: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warunki geograficzne Grecji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fundamenty wspólnoty greckiej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wierzenia Greków i greccy bogowie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znaczenie pojęć: Hellada, Hellenowie, polis, mity, mitologia, heros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posługuje się pojęciami: Hellada, Hellenowie, mit, heros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opisuje warunki naturalne starożytnej Grecji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najważniejszych bogów greckich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poprawnie posługuje się pojęciami: polis, mitologia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wskazuje na mapie Grecję i jej wyspy oraz otaczające morza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przedstawia wierzenia starożytnych Greków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czynniki łączące starożytnych Greków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wpływ warunków naturalnych Grecji na zajęcia ludności oraz sytuację polityczną (podział na polis)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charakteryzuje najważniejszych bogów greckich: opisuje ich atrybuty i dziedziny życia, którym patronowali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porównuje warunki geograficzne Mezopotamii i Grecji i dostrzega ich wpływ na rozwój tych regionów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 znaczenie wierzeń i mitów w życiu Greków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jak mity greckie wpływały i wpływają na sztukę i literaturę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nawiązujące do mitologii związki frazeologiczne (frazeologizmy mitologiczne): pięta Achillesa itp.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jak mity greckie kształtowały sposób myślenia i wartości Greków</w:t>
            </w:r>
          </w:p>
        </w:tc>
      </w:tr>
      <w:tr>
        <w:trPr>
          <w:tblHeader w:val="0"/>
          <w:cantSplit w:val="0"/>
          <w:trHeight w:val="552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>2. W starożytnych Atenach</w:t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cechy charakterystyczne demokracji ateńskiej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Perykles –najwybitniejszy przywódca demokratycznych Aten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życie codzienne różnych warstw społecznych w Atenach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demokracja we współczesnym świecie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znaczenie pojęć: demokracja, obywatele, agora, Akropol, Partenon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posługuje się pojęciami: demokracja, obywatele, agora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różne zajęcia mieszkańców Aten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poprawnie posługuje się pojęciami: Akropol, Partenon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wskazuje na mapie Ateny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cechy ustroju Aten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kim był Perykles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opisuje, kto posiadał prawa polityczne w Atenach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czym była demokracja ateńska (udział obywateli w podejmowaniu decyzji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 rolę Peryklesa jako przywódcy Aten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porównuje położenie obywateli, kobiet i niewolników w Atenach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dostrzega podobieństwa i różnice między ustrojem Aten i Egiptu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podejmuje próby oceny ustroju Aten – wskazuje jego wady i zalety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porównuje demokrację ateńską ze współczesnymi systemami demokratycznymi</w:t>
            </w:r>
          </w:p>
        </w:tc>
      </w:tr>
      <w:tr>
        <w:trPr>
          <w:tblHeader w:val="0"/>
          <w:cantSplit w:val="0"/>
          <w:trHeight w:val="283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 xml:space="preserve">3. </w:t>
            </w: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Osiągnięcia starożytnych Greków</w:t>
            </w: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najważniejsze dokonania sztuki greckiej: architektura, rzeźba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zasięg cywilizacji greckiej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znaczenie filozofii w starożytnej Grecji i jej najwybitniejsi przedstawiciele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dokonania greckiej nauki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val="es-es" w:bidi="pl-pl"/>
              </w:rPr>
            </w:pPr>
            <w:r>
              <w:rPr>
                <w:rFonts w:ascii="Calibri" w:hAnsi="Calibri"/>
                <w:sz w:val="20"/>
                <w:szCs w:val="20"/>
                <w:lang w:val="es-es" w:bidi="pl-pl"/>
              </w:rPr>
              <w:t>postacie: Fidiasz, Sokrates, Platon, Arystoteles, Pitagoras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znaczenie pojęcia: filozofia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różne dziedziny kultury i sztuki rozwijane w starożytnej Grecji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posługuje się pojęciem filozofia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podaje przykłady greckich dokonań w zakresie architektury i sztuki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czym zajmowali się filozofowie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przedstawia dokonania nauki greckiej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łączy czołowych greckich twórców i uczonych (Fidiasza, Sofoklesa, Pitagorasa, Hipokratesa, Sokratesa, Platona, Arystotelesa) z właściwymi polami aktywności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wskazuje na mapie współczesnego świata zasięg cywilizacji greckiej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omawia dokonania najważniejszych filozofów, wskazując podstawowe różnice między ich poglądami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wskazuje cechy charakterystyczne sztuki greckiej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jak filozofia wpłynęła na sposób myślenia Greków o świecie i człowieku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podaje przykłady wpływu dokonań starożytnych Greków na współczesną kulturę i naukę</w:t>
            </w:r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 xml:space="preserve">4. </w:t>
            </w: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W greckim teatrze i na stadionie</w:t>
            </w: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narodziny teatru greckiego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początki literatury: „Iliada” i „Odyseja”,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rola sportu w życiu starożytnych Greków,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starożytne i współczesne igrzyska olimpijskie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postacie: Homer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znaczenie pojęć: tragedia, komedia, epos, igrzyska, olimpiada 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posługuje się pojęciami: igrzyska, olimpiada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przedstawia rolę sportu w starożytnej Grecji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opisuje, jak narodził się teatr grecki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poprawnie posługuje się pojęciami: tragedia, komedia, epos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kim był Homer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dostrzega i wyjaśnia różnice między tragedią a komedią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przedstawia treść Iliady i Odysei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przedstawia współczesną tradycję igrzysk olimpijskich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dostrzega podobieństwa i różnice pomiędzy współczesnym i antycznym teatrem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dostrzega podobieństwa i różnice pomiędzy współczesnymi i antycznymi igrzyskami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genezę i znaczenie frazeologizmu: koń trojański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 archeologiczne poszukiwania mitycznej Troi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ocenia rolę sportu w życiu Greków i jego znaczenie społeczne oraz religijne</w:t>
            </w:r>
          </w:p>
        </w:tc>
      </w:tr>
      <w:tr>
        <w:trPr>
          <w:tblHeader w:val="0"/>
          <w:cantSplit w:val="0"/>
          <w:trHeight w:val="552" w:hRule="atLeast"/>
        </w:trPr>
        <w:tc>
          <w:tcPr>
            <w:tcW w:w="14655" w:type="dxa"/>
            <w:gridSpan w:val="8"/>
            <w:shd w:val="solid" w:color="D0CECE" tmshd="1677721856, 0, 13553360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 w:line="240" w:lineRule="auto"/>
              <w:jc w:val="center"/>
              <w:suppressAutoHyphens/>
              <w:hyphenationLines w:val="0"/>
              <w:widowControl w:val="0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lang w:eastAsia="pl-pl"/>
              </w:rPr>
              <w:t>Rozdział V: Dzieje starożytnego Rzymu</w:t>
            </w: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</w:tr>
      <w:tr>
        <w:trPr>
          <w:tblHeader w:val="0"/>
          <w:cantSplit w:val="0"/>
          <w:trHeight w:val="708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/>
              <w:rPr>
                <w:rFonts w:cs="Calibri"/>
                <w:highlight w:val="yellow"/>
                <w:sz w:val="20"/>
                <w:szCs w:val="20"/>
              </w:rPr>
            </w:pP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1.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Jak powstało Cesarstwo Rzymskie?</w:t>
            </w:r>
            <w:r>
              <w:rPr>
                <w:rFonts w:cs="Calibri"/>
                <w:highlight w:val="yellow"/>
                <w:sz w:val="20"/>
                <w:szCs w:val="20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legendarne początki państwa rzymskiego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przemiany ustrojowe: królestwo, republika, cesarstwo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ekspansja terytorialna Rzymu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organizacja armii i rzymski legionista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kryzys i upadek Imperium Rzymskiego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znaczenie pojęć: republika, obywatele, cesarstwo, prowincje, legiony, barbarzyńcy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wskazuje na mapie: Półwysep Apeniński, Rzym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wyjaśnia, dlaczego symbolem Rzymu została wilczyca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przedstawia uzbrojenie rzymskiego legionisty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poprawnie posługuje się pojęciami: republika, obywatele, cesarstwo, prowincje, legiony, barbarzyńcy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przedstawia legendarne początki Rzymu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porządkuje chronologicznie formy ustrojowe Rzymu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zaznacza na osi czasu daty: 753 r. p.n.e. i 476 r. n.e.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wskazuje charakterystyczne cechy ustroju Rzymu w czasach królestwa, republiki, cesarstwa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 ekspansję terytorialną Rzymu i jej przyczyny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charakteryzuje życie i obowiązki rzymskiego legionisty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 okoliczności upadku cesarstwa zachodniego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korzyści oraz zagrożenia funkcjonowania państwa o rozległym terytorium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co doprowadziło do załamania potęgi Rzymu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jak była zorganizowana rzymska armia i dlaczego była skuteczna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przedstawia na mapie najdalszy zasięg imperium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różnice w rozumieniu pojęcia republika w antyku i współcześnie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przedstawia funkcje pełnione przez senat w ustroju współczesnej Polski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analizuje przyczyny upadku cesarstwa zachodniorzymskiego</w:t>
            </w:r>
          </w:p>
        </w:tc>
      </w:tr>
      <w:tr>
        <w:trPr>
          <w:tblHeader w:val="0"/>
          <w:cantSplit w:val="0"/>
          <w:trHeight w:val="708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2.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W starożytnym Rzymie</w:t>
            </w: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społeczeństwo starożytnego Rzymu: obywatele, patrycjusze, plebejusze, niewolnicy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życie codzienne i rozrywki w Rzymie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miasto Rzym jako stolica imperium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wierzenia Rzymian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znaczenie pojęć: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patrycjusze, plebejusze, niewolnicy, triumf, amfiteatr, Koloseum, Forum Romanum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z pomocą nauczyciela posługuje się pojęciami: amfiteatr, Koloseum, Forum Romanum, triumf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przedstawia warunki życia oraz rozrywki dawnych mieszkańców Rzymu</w:t>
            </w:r>
          </w:p>
          <w:p>
            <w:pPr>
              <w:rPr>
                <w:lang w:bidi="pl-pl"/>
              </w:rPr>
            </w:pPr>
            <w:r>
              <w:rPr>
                <w:lang w:bidi="pl-pl"/>
              </w:rPr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poprawnie posługuje się pojęciami: patrycjusze, plebejusze, niewolnicy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najważniejsze bóstwa czczone przez Rzymian i określa, jakimi dziedzinami życia się opiekowały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charakteryzuje różne grupy społeczeństwa rzymskiego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charakteryzuje rozrywki starożytnych Rzymian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dlaczego Rzym był nazywany Wiecznym Miastem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opisuje, jakie funkcje pełniło Forum Romanum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greckie odpowiedniki najważniejszych rzymskich bóstw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porównuje położenie patrycjuszy, plebejuszy i niewolników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podejmuje próby oceny położenia przedstawicieli różnych grup społecznych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 Rzym jako centrum polityczne, społeczne i kulturalne imperium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jak wierzenia Greków wpłynęły na wierzenia Rzymian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porównuje starożytny Rzym ze współczesnymi wielkimi miastami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porównuje rozrywki starożytnych Rzymian ze współczesnymi i poddaje je ocenie moralnej</w:t>
            </w:r>
          </w:p>
        </w:tc>
      </w:tr>
      <w:tr>
        <w:trPr>
          <w:tblHeader w:val="0"/>
          <w:cantSplit w:val="0"/>
          <w:trHeight w:val="841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/>
              <w:rPr>
                <w:rFonts w:cs="Calibri"/>
                <w:sz w:val="20"/>
                <w:szCs w:val="20"/>
              </w:rPr>
            </w:pP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3. Dziedzictwo Cesarstwa Rzymskiego</w:t>
            </w: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romanizacja i jej skutki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prawo rzymskie i jego znaczenie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największy zasięg imperium i jego współczesne ślady materialne (architektura, drogi i monety) i niematerialne (języki romańskie, alfabet)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znaczenie pojęć: romanizacja, łacina, Prawo XII tablic, prawo rzymskie, akwedukt, języki romańskie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posługuje się pojęciami: łacina, Prawo XII tablic, prawo rzymskie, akwedukt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wymienia najważniejsze dokonania starożytnych Rzymian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poprawnie posługuje się pojęciami: romanizacja, języki romańskie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 sens powiedzenia: Wszystkie drogi prowadzą do Rzymu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wymienia przykłady materialnych śladów imperium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wyjaśnia, na czym polegała romanizacja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podaje przykłady wybitnych dzieł sztuki i architektury rzymskiej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przedstawia rolę prawa i okoliczności jego spisania w Rzymie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dlaczego Rzymianie przykładali dużą wagę do budowy sieci dróg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wyjaśnia znaczenie łaciny dla rozwoju języków europejskich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podejmuje próby oceny procesu romanizacji z punktu widzenia imperium oraz mieszkańców prowincji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dlaczego ślady oddziaływania Rzymu odnajdujemy poza jego granicami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 wpływ prawa rzymskiego na współczesne prawo europejskie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ocenia, które z dokonań Rzymian było najwybitniejsze, i uzasadnia swoją odpowiedź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wyciąga wnioski dotyczące trwałości dziedzictwa rzymskiego</w:t>
            </w:r>
          </w:p>
        </w:tc>
      </w:tr>
      <w:tr>
        <w:trPr>
          <w:tblHeader w:val="0"/>
          <w:cantSplit w:val="0"/>
          <w:trHeight w:val="416" w:hRule="atLeast"/>
        </w:trPr>
        <w:tc>
          <w:tcPr>
            <w:tcW w:w="1440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before="40" w:after="40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4.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eastAsia="Arial Unicode MS" w:cs="Calibri"/>
                <w:bCs/>
                <w:sz w:val="20"/>
                <w:szCs w:val="20"/>
                <w:lang w:eastAsia="pl-pl" w:bidi="pl-pl"/>
              </w:rPr>
              <w:t>Początki chrześcijaństwa</w:t>
            </w:r>
            <w:r>
              <w:rPr>
                <w:rFonts w:cs="Calibri"/>
                <w:sz w:val="20"/>
                <w:szCs w:val="20"/>
                <w:lang w:eastAsia="pl-pl"/>
              </w:rPr>
            </w:r>
          </w:p>
        </w:tc>
        <w:tc>
          <w:tcPr>
            <w:tcW w:w="2159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Jezus z Nazaretu jako twórca nowej religii monoteistycznej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atrakcyjność chrześcijaństwa na tle religii rzymskiej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przyczyny prześladowania chrześcijan w Rzymie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ekspansja chrześcijaństwa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postać historyczna: Jezus z Nazaretu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znaczenie pojęć: Dekalog, judaizm, Mesjasz, monoteizm, chrześcijaństwo, apostołowie, wolność religijna</w:t>
            </w:r>
          </w:p>
        </w:tc>
        <w:tc>
          <w:tcPr>
            <w:tcW w:w="2268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 pomocą nauczyciela posługuje się pojęciami: Dekalog, judaizm, Mesjasz, monoteizm, chrześcijaństwo, apostołowie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dostrzega zasadnicze różnice między chrześcijaństwem a wierzeniami starożytnych Rzymian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podaje przynajmniej jedną przyczynę prześladowań chrześcijan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charakteryzuje działalność apostołów po ukrzyżowaniu Jezusa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sytuuje początki chrześcijaństwa we właściwym wieku</w:t>
            </w:r>
          </w:p>
        </w:tc>
        <w:tc>
          <w:tcPr>
            <w:tcW w:w="2410" w:type="dxa"/>
            <w:gridSpan w:val="2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poprawnie posługuje się pojęciem: wolność religijna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dlaczego chrześcijaństwo było atrakcyjne dla członków różnych grup społecznych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wyjaśnia, jaką zmianę wprowadził Edykt mediolański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opisuje najstarsze symbole chrześcijańskie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analizuje przyczyny i skutki prześladowań chrześcijan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porównuje religię rzymską i chrześcijaństwo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analizując mapę, opisuje proces rozprzestrzeniania się chrześcijaństwa w imperium rzymskim</w:t>
            </w:r>
          </w:p>
        </w:tc>
        <w:tc>
          <w:tcPr>
            <w:tcW w:w="2126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spacing w:before="40" w:after="40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potrafi uzasadnić atrakcyjność chrześcijaństwa dla różnych grup społecznych w Rzymie (np. niewolników, ludzi ubogich)</w:t>
            </w:r>
          </w:p>
        </w:tc>
      </w:tr>
    </w:tbl>
    <w:p>
      <w:pPr>
        <w:spacing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120"/>
        <w:rPr>
          <w:b/>
          <w:bCs/>
          <w:sz w:val="28"/>
          <w:szCs w:val="28"/>
        </w:rPr>
      </w:pPr>
      <w:r>
        <w:br w:type="page"/>
      </w:r>
      <w:r>
        <w:rPr>
          <w:b/>
          <w:bCs/>
          <w:sz w:val="28"/>
          <w:szCs w:val="28"/>
        </w:rPr>
        <w:t>Doświadczenia edukacyjne – propozycje wymagań na poszczególne oceny</w:t>
      </w:r>
    </w:p>
    <w:tbl>
      <w:tblPr>
        <w:name w:val="Tabela2"/>
        <w:tabOrder w:val="0"/>
        <w:jc w:val="left"/>
        <w:tblInd w:w="-485" w:type="dxa"/>
        <w:tblW w:w="14730" w:type="dxa"/>
        <w:pPr>
          <w:ind w:left="-485"/>
          <w:spacing w:after="0" w:line="240" w:lineRule="auto"/>
          <w:widowControl w:val="0"/>
          <w:pBdr>
            <w:top w:val="nil" w:sz="0" w:space="3" w:color="000000" tmln="20, 20, 20, 0, 60"/>
            <w:left w:val="nil" w:sz="0" w:space="3" w:color="000000" tmln="20, 20, 20, 0, 60"/>
            <w:bottom w:val="nil" w:sz="0" w:space="3" w:color="000000" tmln="20, 20, 20, 0, 60"/>
            <w:right w:val="nil" w:sz="0" w:space="3" w:color="000000" tmln="20, 20, 20, 0, 60"/>
            <w:between w:val="nil" w:sz="0" w:space="0" w:color="000000" tmln="20, 20, 20, 0, 0"/>
          </w:pBdr>
          <w:shd w:val="none"/>
        </w:pPr>
      </w:tblPr>
      <w:tblGrid>
        <w:gridCol w:w="2442"/>
        <w:gridCol w:w="2442"/>
        <w:gridCol w:w="2443"/>
        <w:gridCol w:w="2443"/>
        <w:gridCol w:w="2443"/>
        <w:gridCol w:w="2517"/>
      </w:tblGrid>
      <w:tr>
        <w:trPr>
          <w:tblHeader w:val="0"/>
          <w:cantSplit w:val="0"/>
          <w:trHeight w:val="345" w:hRule="atLeast"/>
        </w:trPr>
        <w:tc>
          <w:tcPr>
            <w:tcW w:w="2442" w:type="dxa"/>
            <w:vMerge w:val="restart"/>
            <w:vAlign w:val="center"/>
            <w:shd w:val="solid" w:color="E8E8E8" tmshd="1677721856, 0, 15263976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eastAsia="pl-pl"/>
              </w:rPr>
              <w:t>Doświadczenie edukacyjne i powiązane tematy lekcji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2288" w:type="dxa"/>
            <w:gridSpan w:val="5"/>
            <w:vAlign w:val="center"/>
            <w:shd w:val="solid" w:color="E8E8E8" tmshd="1677721856, 0, 15263976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ind w:left="922" w:hanging="213"/>
              <w:spacing w:after="0"/>
              <w:jc w:val="center"/>
              <w:tabs defTabSz="708">
                <w:tab w:val="left" w:pos="2198" w:leader="none"/>
                <w:tab w:val="left" w:pos="2623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Wymagania na poszczególne oceny</w:t>
            </w:r>
          </w:p>
        </w:tc>
      </w:tr>
      <w:tr>
        <w:trPr>
          <w:tblHeader w:val="0"/>
          <w:cantSplit w:val="0"/>
          <w:trHeight w:val="719" w:hRule="atLeast"/>
        </w:trPr>
        <w:tc>
          <w:tcPr>
            <w:tcW w:w="2442" w:type="dxa"/>
            <w:vMerge/>
            <w:vAlign w:val="center"/>
            <w:shd w:val="solid" w:color="E8E8E8" tmshd="1677721856, 0, 15263976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nil" w:sz="0" w:space="0" w:color="000000" tmln="20, 20, 20, 0, 0"/>
              <w:left w:val="single" w:sz="4" w:space="0" w:color="000000" tmln="1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 w:line="240" w:lineRule="auto"/>
              <w:widowControl w:val="0"/>
              <w:pBdr>
                <w:top w:val="nil" w:sz="0" w:space="3" w:color="000000" tmln="20, 20, 20, 0, 60"/>
                <w:left w:val="nil" w:sz="0" w:space="3" w:color="000000" tmln="20, 20, 20, 0, 60"/>
                <w:bottom w:val="nil" w:sz="0" w:space="3" w:color="000000" tmln="20, 20, 20, 0, 60"/>
                <w:right w:val="nil" w:sz="0" w:space="3" w:color="000000" tmln="20, 20, 20, 0, 6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SimSun"/>
                <w:kern w:val="1"/>
                <w:sz w:val="20"/>
                <w:szCs w:val="20"/>
                <w:lang w:val="pl-pl" w:eastAsia="zh-cn" w:bidi="ar-sa"/>
              </w:rPr>
            </w:pPr>
          </w:p>
        </w:tc>
        <w:tc>
          <w:tcPr>
            <w:tcW w:w="2442" w:type="dxa"/>
            <w:vAlign w:val="center"/>
            <w:shd w:val="solid" w:color="E8E8E8" tmshd="1677721856, 0, 15263976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dopuszczająca</w:t>
            </w:r>
          </w:p>
        </w:tc>
        <w:tc>
          <w:tcPr>
            <w:tcW w:w="2443" w:type="dxa"/>
            <w:vAlign w:val="center"/>
            <w:shd w:val="solid" w:color="E8E8E8" tmshd="1677721856, 0, 15263976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dostateczna</w:t>
            </w:r>
          </w:p>
        </w:tc>
        <w:tc>
          <w:tcPr>
            <w:tcW w:w="2443" w:type="dxa"/>
            <w:vAlign w:val="center"/>
            <w:shd w:val="solid" w:color="E8E8E8" tmshd="1677721856, 0, 15263976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dobra</w:t>
            </w:r>
          </w:p>
        </w:tc>
        <w:tc>
          <w:tcPr>
            <w:tcW w:w="2443" w:type="dxa"/>
            <w:vAlign w:val="center"/>
            <w:shd w:val="solid" w:color="E8E8E8" tmshd="1677721856, 0, 15263976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bardzo dobra</w:t>
            </w:r>
          </w:p>
        </w:tc>
        <w:tc>
          <w:tcPr>
            <w:tcW w:w="2517" w:type="dxa"/>
            <w:vAlign w:val="center"/>
            <w:shd w:val="solid" w:color="E8E8E8" tmshd="1677721856, 0, 15263976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nil" w:sz="0" w:space="0" w:color="000000" tmln="2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celująca</w:t>
            </w:r>
          </w:p>
        </w:tc>
      </w:tr>
      <w:tr>
        <w:trPr>
          <w:tblHeader w:val="0"/>
          <w:cantSplit w:val="0"/>
          <w:trHeight w:val="3239" w:hRule="atLeast"/>
        </w:trPr>
        <w:tc>
          <w:tcPr>
            <w:tcW w:w="2442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spacing w:after="120"/>
              <w:rPr>
                <w:rFonts w:ascii="Calibri" w:hAnsi="Calibri"/>
                <w:sz w:val="20"/>
                <w:szCs w:val="20"/>
                <w:lang w:eastAsia="pl-pl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shd w:val="clear" w:fill="ffffff"/>
                <w:lang w:bidi="pl-pl"/>
              </w:rPr>
              <w:t>przygotowanie obchodów święta lokalnego lub państwowego</w:t>
            </w:r>
            <w:r>
              <w:rPr>
                <w:rFonts w:ascii="Calibri" w:hAnsi="Calibr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shd w:val="clear" w:fill="ffffff"/>
                <w:lang w:bidi="pl-pl"/>
              </w:rPr>
              <w:t>(doświadczenie grupowe)</w:t>
            </w:r>
            <w:r>
              <w:rPr>
                <w:rFonts w:ascii="Calibri" w:hAnsi="Calibri"/>
                <w:sz w:val="20"/>
                <w:szCs w:val="20"/>
                <w:lang w:eastAsia="pl-pl"/>
              </w:rPr>
            </w:r>
          </w:p>
          <w:p>
            <w:pPr>
              <w:pStyle w:val="para5"/>
              <w:spacing w:after="120"/>
              <w:rPr>
                <w:rFonts w:ascii="Calibri" w:hAnsi="Calibri"/>
                <w:sz w:val="20"/>
                <w:szCs w:val="20"/>
                <w:lang w:eastAsia="pl-pl"/>
              </w:rPr>
            </w:pPr>
            <w:r>
              <w:rPr>
                <w:rFonts w:ascii="Calibri" w:hAnsi="Calibri"/>
                <w:sz w:val="20"/>
                <w:szCs w:val="20"/>
                <w:lang w:eastAsia="pl-pl"/>
              </w:rPr>
              <w:t>Rozdział II. Mała i duża ojczyzna, temat 1. Mieszkamy w Polsce</w:t>
            </w:r>
          </w:p>
          <w:p>
            <w:pPr>
              <w:spacing w:after="0" w:line="240" w:lineRule="auto"/>
              <w:widowControl w:val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</w:r>
          </w:p>
        </w:tc>
        <w:tc>
          <w:tcPr>
            <w:tcW w:w="2442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wykonuje swoje zadania tylko przy dużej pomocy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ma trudności ze zrozumieniem znaczenia święta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rzadko angażuje się w pracę grupy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wykazuje minimalną wiedzę i aktywność</w:t>
            </w:r>
          </w:p>
        </w:tc>
        <w:tc>
          <w:tcPr>
            <w:tcW w:w="2443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wykonuje proste zadania podczas przygotowań do obchodów święta lokalnego lub państwowego z pomocą nauczyciela lub grupy</w:t>
            </w:r>
            <w:r>
              <w:rPr>
                <w:sz w:val="20"/>
                <w:szCs w:val="20"/>
                <w:lang w:bidi="pl-pl"/>
              </w:rPr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przygotowuje proste elementy obchodów</w:t>
            </w:r>
            <w:r>
              <w:rPr>
                <w:sz w:val="20"/>
                <w:szCs w:val="20"/>
                <w:lang w:bidi="pl-pl"/>
              </w:rPr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wykazuje pewne zaangażowanie</w:t>
            </w:r>
            <w:r>
              <w:rPr>
                <w:lang w:bidi="pl-pl"/>
              </w:rPr>
            </w:r>
          </w:p>
        </w:tc>
        <w:tc>
          <w:tcPr>
            <w:tcW w:w="2443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wykonuje przydzielone zadania związane z przygotowaniem obchodów święta lokalnego lub państwowego, czasem z niewielką pomocą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rozumie ogólne znaczenie święta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przygotowuje poprawne, choć mniej rozbudowane materiały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współpracuje z grupą</w:t>
            </w:r>
          </w:p>
        </w:tc>
        <w:tc>
          <w:tcPr>
            <w:tcW w:w="2443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aktywnie uczestniczy w pracy grupy przy przygotowaniu obchodów święta lokalnego lub państwowego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wywiązuje się ze swoich zadań i współpracuje z zespołem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dobrze rozumie znaczenie święta i potrafi je wyjaśnić</w:t>
            </w:r>
          </w:p>
        </w:tc>
        <w:tc>
          <w:tcPr>
            <w:tcW w:w="2517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numPr>
                <w:ilvl w:val="0"/>
                <w:numId w:val="1"/>
              </w:numPr>
              <w:ind w:left="175" w:hanging="175"/>
              <w:spacing w:after="0" w:line="240" w:lineRule="auto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wykazuje inicjatywę i odgrywa wiodącą rolę w grupie podczas przygotowania obchodów święta lokalnego lub państwowego</w:t>
            </w:r>
          </w:p>
          <w:p>
            <w:pPr>
              <w:numPr>
                <w:ilvl w:val="0"/>
                <w:numId w:val="1"/>
              </w:numPr>
              <w:ind w:left="175" w:hanging="175"/>
              <w:spacing w:after="0" w:line="240" w:lineRule="auto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aktywnie angażuje się w realizację wydarzenia i wspiera innych</w:t>
            </w:r>
          </w:p>
        </w:tc>
      </w:tr>
      <w:tr>
        <w:trPr>
          <w:tblHeader w:val="0"/>
          <w:cantSplit w:val="0"/>
          <w:trHeight w:val="141" w:hRule="atLeast"/>
        </w:trPr>
        <w:tc>
          <w:tcPr>
            <w:tcW w:w="2442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 w:line="240" w:lineRule="auto"/>
              <w:widowControl w:val="0"/>
              <w:rPr>
                <w:rFonts w:cs="Calibri"/>
                <w:b/>
                <w:bCs/>
                <w:sz w:val="20"/>
                <w:szCs w:val="20"/>
                <w:lang w:bidi="pl-pl"/>
              </w:rPr>
            </w:pPr>
            <w:r>
              <w:rPr>
                <w:rFonts w:cs="Calibri"/>
                <w:b/>
                <w:bCs/>
                <w:sz w:val="20"/>
                <w:szCs w:val="20"/>
                <w:lang w:bidi="pl-pl"/>
              </w:rPr>
              <w:t>przygotowanie plakatu/prezentacji na temat tradycji lokalnej</w:t>
            </w:r>
          </w:p>
          <w:p>
            <w:pPr>
              <w:pStyle w:val="para5"/>
              <w:spacing w:after="120"/>
              <w:rPr>
                <w:sz w:val="20"/>
                <w:szCs w:val="20"/>
                <w:lang w:bidi="pl-pl"/>
              </w:rPr>
            </w:pPr>
            <w:r>
              <w:rPr>
                <w:sz w:val="20"/>
                <w:szCs w:val="20"/>
                <w:lang w:bidi="pl-pl"/>
              </w:rPr>
              <w:t>(</w:t>
            </w:r>
            <w:r>
              <w:rPr>
                <w:rFonts w:ascii="Calibri" w:hAnsi="Calibri"/>
                <w:sz w:val="20"/>
                <w:szCs w:val="20"/>
                <w:lang w:bidi="pl-pl"/>
              </w:rPr>
              <w:t>doświadczenie grupowe</w:t>
            </w:r>
            <w:r>
              <w:rPr>
                <w:sz w:val="20"/>
                <w:szCs w:val="20"/>
                <w:lang w:bidi="pl-pl"/>
              </w:rPr>
              <w:t>)</w:t>
            </w:r>
          </w:p>
          <w:p>
            <w:pPr>
              <w:pStyle w:val="para5"/>
              <w:spacing w:after="120"/>
              <w:rPr>
                <w:rFonts w:ascii="Calibri" w:hAnsi="Calibri" w:eastAsia="Times New Roman"/>
                <w:sz w:val="20"/>
                <w:szCs w:val="20"/>
                <w:lang w:eastAsia="pl-pl"/>
              </w:rPr>
            </w:pPr>
            <w:r>
              <w:rPr>
                <w:rFonts w:ascii="Calibri" w:hAnsi="Calibri"/>
                <w:sz w:val="20"/>
                <w:szCs w:val="20"/>
                <w:lang w:eastAsia="pl-pl"/>
              </w:rPr>
              <w:t xml:space="preserve">Rozdział II. Mała i duża ojczyzna, temat </w:t>
            </w:r>
            <w:r>
              <w:rPr>
                <w:rFonts w:ascii="Calibri" w:hAnsi="Calibri" w:eastAsia="Times New Roman"/>
                <w:sz w:val="20"/>
                <w:szCs w:val="20"/>
                <w:lang w:eastAsia="pl-pl"/>
              </w:rPr>
              <w:t xml:space="preserve">2. </w:t>
            </w:r>
            <w:r>
              <w:rPr>
                <w:rFonts w:ascii="Calibri" w:hAnsi="Calibri"/>
                <w:sz w:val="20"/>
                <w:szCs w:val="20"/>
              </w:rPr>
              <w:t>Moja mała ojczyzna</w:t>
            </w:r>
            <w:r>
              <w:rPr>
                <w:rFonts w:ascii="Calibri" w:hAnsi="Calibri" w:eastAsia="Times New Roman"/>
                <w:sz w:val="20"/>
                <w:szCs w:val="20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cs="Calibri"/>
                <w:sz w:val="20"/>
                <w:szCs w:val="20"/>
                <w:shd w:val="clear" w:fill="d9d9d9"/>
                <w:lang w:bidi="pl-pl"/>
              </w:rPr>
            </w:pPr>
            <w:r>
              <w:rPr>
                <w:rFonts w:cs="Calibri"/>
                <w:sz w:val="20"/>
                <w:szCs w:val="20"/>
                <w:shd w:val="clear" w:fill="d9d9d9"/>
                <w:lang w:bidi="pl-pl"/>
              </w:rPr>
            </w:r>
          </w:p>
        </w:tc>
        <w:tc>
          <w:tcPr>
            <w:tcW w:w="2442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wykonuje swoje zadania tylko przy dużej pomocy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ma trudności ze zrozumieniem tradycji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rzadko angażuje się w pracę grupy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wykazuje minimalną wiedzę i aktywność</w:t>
            </w:r>
          </w:p>
        </w:tc>
        <w:tc>
          <w:tcPr>
            <w:tcW w:w="2443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wykonuje proste zadania przy przygotowaniu plakatu na temat tradycji lokalnej z pomocą nauczyciela lub grupy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korzysta z jednego, wskazanego źródła informacji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ma podstawową wiedzę o tradycji, choć popełnia błędy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wykazuje pewne zaangażowanie</w:t>
            </w:r>
          </w:p>
        </w:tc>
        <w:tc>
          <w:tcPr>
            <w:tcW w:w="2443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wykonuje przydzielone zadania związane z przygotowaniem plakatu na temat tradycji lokalnej, czasem z niewielką pomocą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rozumie ogólne znaczenie tradycji lokalnej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przygotowuje poprawne, choć mniej rozbudowane materiały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współpracuje z grupą</w:t>
            </w:r>
          </w:p>
        </w:tc>
        <w:tc>
          <w:tcPr>
            <w:tcW w:w="2443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aktywnie uczestniczy w pracy grupy przy przygotowaniu plakatu związanego z tradycją lokalną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wywiązuje się ze swoich zadań i współpracuje z zespołem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korzysta z kilku źródeł informacji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dobrze rozumie znaczenie przedstawionej tradycji,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dba o estetykę i poprawność plakatu</w:t>
            </w:r>
          </w:p>
        </w:tc>
        <w:tc>
          <w:tcPr>
            <w:tcW w:w="2517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wykazuje inicjatywę i odgrywa wiodącą rolę w grupie podczas przygotowania plakatu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samodzielnie wyszukuje różnorodne, wiarygodne informacje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tworzy oryginalny, estetyczny i kreatywny plakat (przemyślana kompozycja, ciekawe formy graficzne)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aktywnie wspiera pracę grupy i angażuje się w każdy etap realizacji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dba o poprawność merytoryczną i językową</w:t>
            </w:r>
          </w:p>
        </w:tc>
      </w:tr>
      <w:tr>
        <w:trPr>
          <w:tblHeader w:val="0"/>
          <w:cantSplit w:val="0"/>
          <w:trHeight w:val="4536" w:hRule="atLeast"/>
        </w:trPr>
        <w:tc>
          <w:tcPr>
            <w:tcW w:w="2442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spacing w:after="120"/>
              <w:rPr>
                <w:rFonts w:ascii="Calibri" w:hAnsi="Calibri"/>
                <w:sz w:val="20"/>
                <w:szCs w:val="20"/>
                <w:lang w:eastAsia="pl-pl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bidi="pl-pl"/>
              </w:rPr>
              <w:t>przygotowanie opisu zabytku</w:t>
            </w:r>
            <w:r>
              <w:rPr>
                <w:rFonts w:ascii="Calibri" w:hAnsi="Calibri"/>
                <w:sz w:val="20"/>
                <w:szCs w:val="20"/>
                <w:lang w:eastAsia="pl-pl"/>
              </w:rPr>
              <w:t xml:space="preserve"> (</w:t>
            </w:r>
            <w:r>
              <w:rPr>
                <w:rFonts w:ascii="Calibri" w:hAnsi="Calibri"/>
                <w:sz w:val="20"/>
                <w:szCs w:val="20"/>
                <w:lang w:bidi="pl-pl"/>
              </w:rPr>
              <w:t>doświadczenie indywidualne)</w:t>
            </w:r>
            <w:r>
              <w:rPr>
                <w:rFonts w:ascii="Calibri" w:hAnsi="Calibri"/>
                <w:sz w:val="20"/>
                <w:szCs w:val="20"/>
                <w:lang w:eastAsia="pl-pl"/>
              </w:rPr>
            </w:r>
          </w:p>
          <w:p>
            <w:pPr>
              <w:pStyle w:val="para5"/>
              <w:spacing w:after="1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  <w:lang w:eastAsia="pl-pl"/>
              </w:rPr>
              <w:t xml:space="preserve">Rozdział II. Mała i duża ojczyzna, temat </w:t>
            </w:r>
            <w:r>
              <w:rPr>
                <w:rFonts w:ascii="Calibri" w:hAnsi="Calibri"/>
                <w:sz w:val="20"/>
                <w:szCs w:val="20"/>
              </w:rPr>
              <w:t>3. Historia mojej okolicy</w:t>
            </w:r>
          </w:p>
          <w:p>
            <w:pPr>
              <w:pStyle w:val="para5"/>
              <w:spacing w:after="120"/>
              <w:rPr>
                <w:rFonts w:ascii="Calibri" w:hAnsi="Calibri"/>
                <w:sz w:val="20"/>
                <w:szCs w:val="20"/>
                <w:lang w:eastAsia="pl-pl"/>
              </w:rPr>
            </w:pPr>
            <w:r>
              <w:rPr>
                <w:rFonts w:ascii="Calibri" w:hAnsi="Calibri"/>
                <w:sz w:val="20"/>
                <w:szCs w:val="20"/>
                <w:lang w:eastAsia="pl-pl"/>
              </w:rPr>
              <w:t>Rozdział IV. W starożytnej Grecji, temat 3. Osiągnięcia starożytnych Greków</w:t>
            </w:r>
          </w:p>
          <w:p>
            <w:pPr>
              <w:spacing w:after="0" w:line="240" w:lineRule="auto"/>
              <w:widowControl w:val="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</w:r>
          </w:p>
        </w:tc>
        <w:tc>
          <w:tcPr>
            <w:tcW w:w="2442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podejmuje działania jedynie przy dużej pomocy nauczyciela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ma trudności ze znalezieniem i wykorzystaniem informacji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przedstawia bardzo ograniczone lub niepoprawne treści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 jest niepełny, chaotyczny lub zawiera liczne błędy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wykazuje minimalne zaangażowanie</w:t>
            </w:r>
          </w:p>
        </w:tc>
        <w:tc>
          <w:tcPr>
            <w:tcW w:w="2443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przygotowuje prosty opis zabytku z pomocą nauczyciela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korzysta z jednego, wskazanego źródła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ma podstawowe informacje o zabytku, choć nie zawsze poprawne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tworzy krótki i mało szczegółowy opis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popełnia błędy językowe i merytoryczne</w:t>
            </w:r>
          </w:p>
        </w:tc>
        <w:tc>
          <w:tcPr>
            <w:tcW w:w="2443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przygotowuje opis zabytku z niewielką pomocą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korzysta z podstawowych źródeł informacji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rozumie ogólne znaczenie zabytku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tworzy poprawny, lecz niezbyt rozbudowany opis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popełnia nieliczne błędy językowe lub rzeczowe</w:t>
            </w:r>
          </w:p>
        </w:tc>
        <w:tc>
          <w:tcPr>
            <w:tcW w:w="2443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samodzielnie przygotowuje opis zabytku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korzysta z kilku źródeł informacji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tworzy uporządkowany i poprawny opis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zachowuje poprawność językową i merytoryczną</w:t>
            </w:r>
          </w:p>
        </w:tc>
        <w:tc>
          <w:tcPr>
            <w:tcW w:w="2517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korzysta z różnorodnych, wiarygodnych źródeł informacji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bardzo dobrze rozumie znaczenie zabytku i potrafi je szeroko wyjaśnić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tworzy wyczerpujący, logiczny i ciekawy opis (uwzględnia np. funkcję, styl architektoniczny, ciekawostki)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dba o poprawność językową i bogate słownictwo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wykazuje się samodzielnością i zaangażowaniem</w:t>
            </w:r>
          </w:p>
        </w:tc>
      </w:tr>
      <w:tr>
        <w:trPr>
          <w:tblHeader w:val="0"/>
          <w:cantSplit w:val="0"/>
          <w:trHeight w:val="3762" w:hRule="atLeast"/>
        </w:trPr>
        <w:tc>
          <w:tcPr>
            <w:tcW w:w="2442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spacing w:after="0" w:line="240" w:lineRule="auto"/>
              <w:widowControl w:val="0"/>
              <w:rPr>
                <w:rFonts w:cs="Calibri"/>
                <w:b/>
                <w:bCs/>
                <w:sz w:val="20"/>
                <w:szCs w:val="20"/>
                <w:lang w:bidi="pl-pl"/>
              </w:rPr>
            </w:pPr>
            <w:r>
              <w:rPr>
                <w:rFonts w:cs="Calibri"/>
                <w:b/>
                <w:bCs/>
                <w:sz w:val="20"/>
                <w:szCs w:val="20"/>
                <w:lang w:bidi="pl-pl"/>
              </w:rPr>
              <w:t>przygotowanie opisu postaci historycznej</w:t>
            </w:r>
          </w:p>
          <w:p>
            <w:pPr>
              <w:pStyle w:val="para5"/>
              <w:spacing w:after="120"/>
              <w:rPr>
                <w:sz w:val="20"/>
                <w:szCs w:val="20"/>
                <w:lang w:bidi="pl-pl"/>
              </w:rPr>
            </w:pPr>
            <w:r>
              <w:rPr>
                <w:sz w:val="20"/>
                <w:szCs w:val="20"/>
                <w:lang w:bidi="pl-pl"/>
              </w:rPr>
              <w:t>(</w:t>
            </w:r>
            <w:r>
              <w:rPr>
                <w:rFonts w:ascii="Calibri" w:hAnsi="Calibri"/>
                <w:sz w:val="20"/>
                <w:szCs w:val="20"/>
                <w:lang w:bidi="pl-pl"/>
              </w:rPr>
              <w:t>doświadczenie indywidualne</w:t>
            </w:r>
            <w:r>
              <w:rPr>
                <w:sz w:val="20"/>
                <w:szCs w:val="20"/>
                <w:lang w:bidi="pl-pl"/>
              </w:rPr>
              <w:t>)</w:t>
            </w:r>
          </w:p>
          <w:p>
            <w:pPr>
              <w:pStyle w:val="para5"/>
              <w:spacing w:after="1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Rozdział III. Z najdawniejszych dziejów, temat 3. W starożytnym Egipcie</w:t>
            </w:r>
          </w:p>
          <w:p>
            <w:pPr>
              <w:pStyle w:val="para5"/>
              <w:spacing w:after="1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Rozdział V. Dzieje starożytnego Rzymu, temat</w:t>
            </w:r>
            <w:r>
              <w:rPr>
                <w:sz w:val="20"/>
                <w:szCs w:val="20"/>
              </w:rPr>
              <w:t> </w:t>
            </w:r>
            <w:r>
              <w:rPr>
                <w:rFonts w:ascii="Calibri" w:hAnsi="Calibri"/>
                <w:sz w:val="20"/>
                <w:szCs w:val="20"/>
              </w:rPr>
              <w:t>1. Jak powstało cesarstwo rzymskie</w:t>
            </w:r>
            <w:r>
              <w:rPr>
                <w:sz w:val="20"/>
                <w:szCs w:val="20"/>
              </w:rPr>
              <w:t>?</w:t>
            </w: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spacing w:after="0" w:line="240" w:lineRule="auto"/>
              <w:widowControl w:val="0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</w:r>
          </w:p>
        </w:tc>
        <w:tc>
          <w:tcPr>
            <w:tcW w:w="2442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podejmuje działania jedynie przy dużej pomocy nauczyciela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ma trudności ze znalezieniem i wykorzystaniem informacji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przedstawia bardzo ograniczone lub niepoprawne treści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opis jest niepełny, chaotyczny lub zawiera liczne błędy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wykazuje minimalne zaangażowanie</w:t>
            </w:r>
          </w:p>
        </w:tc>
        <w:tc>
          <w:tcPr>
            <w:tcW w:w="2443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przygotowuje prosty opis postaci z pomocą nauczyciela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ma podstawowe informacje o postaci, choć nie zawsze poprawne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tworzy krótki i mało szczegółowy opis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popełnia błędy językowe i merytoryczne</w:t>
            </w:r>
          </w:p>
        </w:tc>
        <w:tc>
          <w:tcPr>
            <w:tcW w:w="2443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przygotowuje opis postaci z niewielką pomocą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korzysta z podstawowych źródeł informacji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rozumie ogólne znaczenie postaci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tworzy poprawny, lecz niezbyt szczegółowy opis</w:t>
            </w:r>
            <w:r>
              <w:rPr>
                <w:lang w:bidi="pl-pl"/>
              </w:rPr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popełnia nieliczne błędy językowe lub rzeczowe</w:t>
            </w:r>
            <w:r>
              <w:rPr>
                <w:lang w:bidi="pl-pl"/>
              </w:rPr>
            </w:r>
          </w:p>
        </w:tc>
        <w:tc>
          <w:tcPr>
            <w:tcW w:w="2443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samodzielnie przygotowuje opis postaci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korzysta z kilku źródeł informacji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tworzy uporządkowany i poprawny opis (zawierający najważniejsze informacje)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zachowuje poprawność językową i merytoryczną</w:t>
            </w:r>
          </w:p>
        </w:tc>
        <w:tc>
          <w:tcPr>
            <w:tcW w:w="2517" w:type="dxa"/>
            <w:shd w:val="none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78238300" protected="1"/>
          </w:tcPr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 xml:space="preserve">samodzielnie wybiera i opracowuje postać 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korzysta z różnorodnych, wiarygodnych źródeł informacji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bardzo dobrze rozumie znaczenie postaci i jej rolę w historii</w:t>
            </w:r>
          </w:p>
          <w:p>
            <w:pPr>
              <w:pStyle w:val="para5"/>
              <w:numPr>
                <w:ilvl w:val="0"/>
                <w:numId w:val="1"/>
              </w:numPr>
              <w:ind w:left="175" w:hanging="175"/>
              <w:rPr>
                <w:rFonts w:ascii="Calibri" w:hAnsi="Calibri"/>
                <w:sz w:val="20"/>
                <w:szCs w:val="20"/>
                <w:lang w:bidi="pl-pl"/>
              </w:rPr>
            </w:pPr>
            <w:r>
              <w:rPr>
                <w:rFonts w:ascii="Calibri" w:hAnsi="Calibri"/>
                <w:sz w:val="20"/>
                <w:szCs w:val="20"/>
                <w:lang w:bidi="pl-pl"/>
              </w:rPr>
              <w:t>tworzy wyczerpujący, uporządkowany i ciekawy opis (uwzględnia m.in. życie, dokonania, znaczenie historyczne)</w:t>
            </w:r>
          </w:p>
        </w:tc>
      </w:tr>
    </w:tbl>
    <w:p>
      <w:pPr>
        <w:spacing w:after="0"/>
        <w:rPr>
          <w:sz w:val="20"/>
          <w:szCs w:val="20"/>
        </w:rPr>
      </w:pPr>
      <w:r>
        <w:rPr>
          <w:sz w:val="20"/>
          <w:szCs w:val="20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footerReference w:type="default" r:id="rId8"/>
      <w:type w:val="nextPage"/>
      <w:pgSz w:h="11906" w:w="16838" w:orient="landscape"/>
      <w:pgMar w:left="1417" w:top="1417" w:right="1417" w:bottom="1417" w:header="0" w:footer="708"/>
      <w:paperSrc w:first="7" w:other="7" a="0" b="0"/>
      <w:pgNumType w:fmt="decimal"/>
      <w:tmGutter w:val="3"/>
      <w:mirrorMargins w:val="0"/>
      <w:tmSection w:h="-2"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Symbol">
    <w:panose1 w:val="05050102010706020507"/>
    <w:charset w:val="02"/>
    <w:family w:val="roman"/>
    <w:pitch w:val="default"/>
  </w:font>
  <w:font w:name="Courier New">
    <w:panose1 w:val="02070309020205020404"/>
    <w:charset w:val="ee"/>
    <w:family w:val="modern"/>
    <w:pitch w:val="default"/>
  </w:font>
  <w:font w:name="Wingdings">
    <w:panose1 w:val="05000000000000000000"/>
    <w:charset w:val="02"/>
    <w:family w:val="auto"/>
    <w:pitch w:val="default"/>
  </w:font>
  <w:font w:name="Calibri">
    <w:panose1 w:val="020F0502020204030204"/>
    <w:charset w:val="ee"/>
    <w:family w:val="swiss"/>
    <w:pitch w:val="default"/>
  </w:font>
  <w:font w:name="Segoe UI">
    <w:panose1 w:val="020B0502040204020203"/>
    <w:charset w:val="ee"/>
    <w:family w:val="swiss"/>
    <w:pitch w:val="default"/>
  </w:font>
  <w:font w:name="Humanst521EU">
    <w:panose1 w:val="020B0604020202020204"/>
    <w:charset w:val="00"/>
    <w:family w:val="swiss"/>
    <w:pitch w:val="default"/>
  </w:font>
  <w:font w:name="Aptos">
    <w:panose1 w:val="020B0604020202020204"/>
    <w:charset w:val="00"/>
    <w:family w:val="swiss"/>
    <w:pitch w:val="default"/>
  </w:font>
  <w:font w:name="Times">
    <w:panose1 w:val="02020603050405020304"/>
    <w:charset w:val="00"/>
    <w:family w:val="roman"/>
    <w:pitch w:val="default"/>
  </w:font>
  <w:font w:name="Arial Unicode MS">
    <w:panose1 w:val="020B0604020202020204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7"/>
      <w:spacing/>
      <w:jc w:val="center"/>
    </w:pPr>
    <w:r>
      <w:fldChar w:fldCharType="begin"/>
      <w:instrText xml:space="preserve"> PAGE </w:instrText>
      <w:fldChar w:fldCharType="separate"/>
      <w:t>13</w:t>
      <w:fldChar w:fldCharType="end"/>
    </w:r>
  </w:p>
  <w:p>
    <w:pPr>
      <w:pStyle w:val="para7"/>
    </w:pPr>
    <w:r/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owana 1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 w:eastAsia="Symbol" w:cs="Symbol"/>
        <w:sz w:val="20"/>
        <w:szCs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 w:eastAsia="Symbol" w:cs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 w:eastAsia="Symbol" w:cs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view w:val="print"/>
  <w:defaultTabStop w:val="708"/>
  <w:autoHyphenation w:val="0"/>
  <w:doNotShadeFormData w:val="0"/>
  <w:captions>
    <w:caption w:name="Tabela" w:pos="below" w:numFmt="decimal"/>
    <w:caption w:name="Rysunek" w:pos="below" w:numFmt="decimal"/>
    <w:caption w:name="Obraz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2049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1"/>
    <w:tmRevisionNum w:val="4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0"/>
      <w:tmLastPosIdx w:val="1"/>
    </w:tmLastPosCaret>
    <w:tmLastPosAnchor>
      <w:tmLastPosPgfIdx w:val="0"/>
      <w:tmLastPosIdx w:val="0"/>
    </w:tmLastPosAnchor>
    <w:tmLastPosTblRect w:left="0" w:top="0" w:right="0" w:bottom="0"/>
  </w:tmLastPos>
  <w:tmAppRevision w:date="1778238300" w:val="1068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0"/>
        <w:szCs w:val="20"/>
        <w:noProof w:val="1"/>
      </w:rPr>
    </w:rPrDefault>
    <w:pPrDefault>
      <w:pPr>
        <w:spacing w:after="160" w:line="259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2"/>
      <w:szCs w:val="22"/>
      <w:lang w:val="pl-pl" w:eastAsia="en-us" w:bidi="ar-sa"/>
    </w:rPr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>
    <w:name w:val="Comment Text"/>
    <w:qFormat/>
    <w:basedOn w:val="para0"/>
    <w:pPr>
      <w:spacing w:line="240" w:lineRule="auto"/>
    </w:pPr>
    <w:rPr>
      <w:sz w:val="20"/>
      <w:szCs w:val="20"/>
    </w:rPr>
  </w:style>
  <w:style w:type="paragraph" w:styleId="para3">
    <w:name w:val="Comment Subject"/>
    <w:qFormat/>
    <w:basedOn w:val="para2"/>
    <w:next w:val="para2"/>
    <w:rPr>
      <w:b/>
      <w:bCs/>
    </w:rPr>
  </w:style>
  <w:style w:type="paragraph" w:styleId="para4">
    <w:name w:val="Revision"/>
    <w:qFormat/>
    <w:pPr>
      <w:spacing w:after="0" w:line="240" w:lineRule="auto"/>
    </w:pPr>
    <w:rPr>
      <w:rFonts w:ascii="Calibri" w:hAnsi="Calibri" w:eastAsia="Calibri"/>
      <w:sz w:val="22"/>
      <w:szCs w:val="22"/>
      <w:lang w:val="pl-pl" w:eastAsia="en-us" w:bidi="ar-sa"/>
    </w:rPr>
  </w:style>
  <w:style w:type="paragraph" w:styleId="para5" w:customStyle="1">
    <w:name w:val="Pa11"/>
    <w:qFormat/>
    <w:basedOn w:val="para0"/>
    <w:next w:val="para0"/>
    <w:pPr>
      <w:spacing w:after="0" w:line="241" w:lineRule="atLeast"/>
    </w:pPr>
    <w:rPr>
      <w:rFonts w:ascii="Humanst521EU" w:hAnsi="Humanst521EU" w:cs="Calibri"/>
      <w:sz w:val="24"/>
      <w:szCs w:val="24"/>
    </w:rPr>
  </w:style>
  <w:style w:type="paragraph" w:styleId="para6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7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8">
    <w:name w:val="Endnote Text"/>
    <w:qFormat/>
    <w:basedOn w:val="para0"/>
    <w:rPr>
      <w:sz w:val="20"/>
      <w:szCs w:val="20"/>
    </w:rPr>
  </w:style>
  <w:style w:type="paragraph" w:styleId="para9">
    <w:name w:val="No Spacing"/>
    <w:qFormat/>
    <w:pPr>
      <w:spacing w:after="0" w:line="240" w:lineRule="auto"/>
      <w:widowControl w:val="0"/>
    </w:pPr>
    <w:rPr>
      <w:lang w:val="pl-pl" w:eastAsia="pl-pl" w:bidi="ar-sa"/>
    </w:rPr>
  </w:style>
  <w:style w:type="paragraph" w:styleId="para10">
    <w:name w:val="List Paragraph"/>
    <w:qFormat/>
    <w:basedOn w:val="para0"/>
    <w:pPr>
      <w:ind w:left="720"/>
      <w:spacing w:line="278" w:lineRule="auto"/>
      <w:contextualSpacing/>
    </w:pPr>
    <w:rPr>
      <w:rFonts w:ascii="Aptos" w:hAnsi="Aptos" w:eastAsia="Aptos"/>
      <w:kern w:val="1"/>
      <w:sz w:val="24"/>
      <w:szCs w:val="24"/>
    </w:rPr>
  </w:style>
  <w:style w:type="character" w:styleId="char0" w:default="1">
    <w:name w:val="Default Paragraph Font"/>
    <w:basedOn w:val="char0"/>
  </w:style>
  <w:style w:type="character" w:styleId="char1" w:customStyle="1">
    <w:name w:val="Tekst dymka Znak"/>
    <w:rPr>
      <w:rFonts w:ascii="Segoe UI" w:hAnsi="Segoe UI" w:cs="Segoe UI"/>
      <w:sz w:val="18"/>
      <w:szCs w:val="18"/>
    </w:rPr>
  </w:style>
  <w:style w:type="character" w:styleId="char2">
    <w:name w:val="Comment Reference"/>
    <w:rPr>
      <w:sz w:val="16"/>
      <w:szCs w:val="16"/>
    </w:rPr>
  </w:style>
  <w:style w:type="character" w:styleId="char3" w:customStyle="1">
    <w:name w:val="Tekst komentarza Znak"/>
    <w:rPr>
      <w:sz w:val="20"/>
      <w:szCs w:val="20"/>
    </w:rPr>
  </w:style>
  <w:style w:type="character" w:styleId="char4" w:customStyle="1">
    <w:name w:val="Temat komentarza Znak"/>
    <w:rPr>
      <w:b/>
      <w:bCs/>
      <w:sz w:val="20"/>
      <w:szCs w:val="20"/>
    </w:rPr>
  </w:style>
  <w:style w:type="character" w:styleId="char5" w:customStyle="1">
    <w:name w:val="A13"/>
    <w:rPr>
      <w:rFonts w:cs="Calibri"/>
      <w:color w:val="000000"/>
      <w:sz w:val="15"/>
      <w:szCs w:val="15"/>
    </w:rPr>
  </w:style>
  <w:style w:type="character" w:styleId="char6" w:customStyle="1">
    <w:name w:val="A14"/>
    <w:rPr>
      <w:rFonts w:cs="Calibri"/>
      <w:color w:val="000000"/>
      <w:sz w:val="15"/>
      <w:szCs w:val="15"/>
    </w:rPr>
  </w:style>
  <w:style w:type="character" w:styleId="char7" w:customStyle="1">
    <w:name w:val="Nagłówek Znak"/>
  </w:style>
  <w:style w:type="character" w:styleId="char8" w:customStyle="1">
    <w:name w:val="Stopka Znak"/>
  </w:style>
  <w:style w:type="character" w:styleId="char9" w:customStyle="1">
    <w:name w:val="ui-provider"/>
  </w:style>
  <w:style w:type="character" w:styleId="char10" w:customStyle="1">
    <w:name w:val="Tekst przypisu końcowego Znak"/>
    <w:rPr>
      <w:lang w:eastAsia="en-us"/>
    </w:rPr>
  </w:style>
  <w:style w:type="character" w:styleId="char11">
    <w:name w:val="Endnote Reference"/>
    <w:rPr>
      <w:vertAlign w:val="superscript"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Times New Roman"/>
        <w:sz w:val="20"/>
        <w:szCs w:val="20"/>
        <w:noProof w:val="1"/>
      </w:rPr>
    </w:rPrDefault>
    <w:pPrDefault>
      <w:pPr>
        <w:spacing w:after="160" w:line="259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2"/>
      <w:szCs w:val="22"/>
      <w:lang w:val="pl-pl" w:eastAsia="en-us" w:bidi="ar-sa"/>
    </w:rPr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>
    <w:name w:val="Comment Text"/>
    <w:qFormat/>
    <w:basedOn w:val="para0"/>
    <w:pPr>
      <w:spacing w:line="240" w:lineRule="auto"/>
    </w:pPr>
    <w:rPr>
      <w:sz w:val="20"/>
      <w:szCs w:val="20"/>
    </w:rPr>
  </w:style>
  <w:style w:type="paragraph" w:styleId="para3">
    <w:name w:val="Comment Subject"/>
    <w:qFormat/>
    <w:basedOn w:val="para2"/>
    <w:next w:val="para2"/>
    <w:rPr>
      <w:b/>
      <w:bCs/>
    </w:rPr>
  </w:style>
  <w:style w:type="paragraph" w:styleId="para4">
    <w:name w:val="Revision"/>
    <w:qFormat/>
    <w:pPr>
      <w:spacing w:after="0" w:line="240" w:lineRule="auto"/>
    </w:pPr>
    <w:rPr>
      <w:rFonts w:ascii="Calibri" w:hAnsi="Calibri" w:eastAsia="Calibri"/>
      <w:sz w:val="22"/>
      <w:szCs w:val="22"/>
      <w:lang w:val="pl-pl" w:eastAsia="en-us" w:bidi="ar-sa"/>
    </w:rPr>
  </w:style>
  <w:style w:type="paragraph" w:styleId="para5" w:customStyle="1">
    <w:name w:val="Pa11"/>
    <w:qFormat/>
    <w:basedOn w:val="para0"/>
    <w:next w:val="para0"/>
    <w:pPr>
      <w:spacing w:after="0" w:line="241" w:lineRule="atLeast"/>
    </w:pPr>
    <w:rPr>
      <w:rFonts w:ascii="Humanst521EU" w:hAnsi="Humanst521EU" w:cs="Calibri"/>
      <w:sz w:val="24"/>
      <w:szCs w:val="24"/>
    </w:rPr>
  </w:style>
  <w:style w:type="paragraph" w:styleId="para6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7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8">
    <w:name w:val="Endnote Text"/>
    <w:qFormat/>
    <w:basedOn w:val="para0"/>
    <w:rPr>
      <w:sz w:val="20"/>
      <w:szCs w:val="20"/>
    </w:rPr>
  </w:style>
  <w:style w:type="paragraph" w:styleId="para9">
    <w:name w:val="No Spacing"/>
    <w:qFormat/>
    <w:pPr>
      <w:spacing w:after="0" w:line="240" w:lineRule="auto"/>
      <w:widowControl w:val="0"/>
    </w:pPr>
    <w:rPr>
      <w:lang w:val="pl-pl" w:eastAsia="pl-pl" w:bidi="ar-sa"/>
    </w:rPr>
  </w:style>
  <w:style w:type="paragraph" w:styleId="para10">
    <w:name w:val="List Paragraph"/>
    <w:qFormat/>
    <w:basedOn w:val="para0"/>
    <w:pPr>
      <w:ind w:left="720"/>
      <w:spacing w:line="278" w:lineRule="auto"/>
      <w:contextualSpacing/>
    </w:pPr>
    <w:rPr>
      <w:rFonts w:ascii="Aptos" w:hAnsi="Aptos" w:eastAsia="Aptos"/>
      <w:kern w:val="1"/>
      <w:sz w:val="24"/>
      <w:szCs w:val="24"/>
    </w:rPr>
  </w:style>
  <w:style w:type="character" w:styleId="char0" w:default="1">
    <w:name w:val="Default Paragraph Font"/>
    <w:basedOn w:val="char0"/>
  </w:style>
  <w:style w:type="character" w:styleId="char1" w:customStyle="1">
    <w:name w:val="Tekst dymka Znak"/>
    <w:rPr>
      <w:rFonts w:ascii="Segoe UI" w:hAnsi="Segoe UI" w:cs="Segoe UI"/>
      <w:sz w:val="18"/>
      <w:szCs w:val="18"/>
    </w:rPr>
  </w:style>
  <w:style w:type="character" w:styleId="char2">
    <w:name w:val="Comment Reference"/>
    <w:rPr>
      <w:sz w:val="16"/>
      <w:szCs w:val="16"/>
    </w:rPr>
  </w:style>
  <w:style w:type="character" w:styleId="char3" w:customStyle="1">
    <w:name w:val="Tekst komentarza Znak"/>
    <w:rPr>
      <w:sz w:val="20"/>
      <w:szCs w:val="20"/>
    </w:rPr>
  </w:style>
  <w:style w:type="character" w:styleId="char4" w:customStyle="1">
    <w:name w:val="Temat komentarza Znak"/>
    <w:rPr>
      <w:b/>
      <w:bCs/>
      <w:sz w:val="20"/>
      <w:szCs w:val="20"/>
    </w:rPr>
  </w:style>
  <w:style w:type="character" w:styleId="char5" w:customStyle="1">
    <w:name w:val="A13"/>
    <w:rPr>
      <w:rFonts w:cs="Calibri"/>
      <w:color w:val="000000"/>
      <w:sz w:val="15"/>
      <w:szCs w:val="15"/>
    </w:rPr>
  </w:style>
  <w:style w:type="character" w:styleId="char6" w:customStyle="1">
    <w:name w:val="A14"/>
    <w:rPr>
      <w:rFonts w:cs="Calibri"/>
      <w:color w:val="000000"/>
      <w:sz w:val="15"/>
      <w:szCs w:val="15"/>
    </w:rPr>
  </w:style>
  <w:style w:type="character" w:styleId="char7" w:customStyle="1">
    <w:name w:val="Nagłówek Znak"/>
  </w:style>
  <w:style w:type="character" w:styleId="char8" w:customStyle="1">
    <w:name w:val="Stopka Znak"/>
  </w:style>
  <w:style w:type="character" w:styleId="char9" w:customStyle="1">
    <w:name w:val="ui-provider"/>
  </w:style>
  <w:style w:type="character" w:styleId="char10" w:customStyle="1">
    <w:name w:val="Tekst przypisu końcowego Znak"/>
    <w:rPr>
      <w:lang w:eastAsia="en-us"/>
    </w:rPr>
  </w:style>
  <w:style w:type="character" w:styleId="char11">
    <w:name w:val="Endnote Reference"/>
    <w:rPr>
      <w:vertAlign w:val="superscript"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9525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2021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Krzysztof Mrozowski</cp:lastModifiedBy>
  <cp:revision>4</cp:revision>
  <cp:lastPrinted>2020-05-12T11:57:00Z</cp:lastPrinted>
  <dcterms:created xsi:type="dcterms:W3CDTF">2026-05-08T10:45:00Z</dcterms:created>
  <dcterms:modified xsi:type="dcterms:W3CDTF">2026-05-08T11:05:00Z</dcterms:modified>
</cp:coreProperties>
</file>